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19000" w14:textId="77777777" w:rsidR="00CA0092" w:rsidRDefault="008D6750" w:rsidP="00516C75">
      <w:pPr>
        <w:spacing w:after="0" w:line="240" w:lineRule="auto"/>
        <w:jc w:val="center"/>
        <w:rPr>
          <w:rFonts w:ascii="Bookman Old Style" w:hAnsi="Bookman Old Style"/>
          <w:b/>
          <w:sz w:val="24"/>
          <w:szCs w:val="24"/>
        </w:rPr>
      </w:pPr>
      <w:r w:rsidRPr="008D6750">
        <w:rPr>
          <w:rFonts w:ascii="Bookman Old Style" w:hAnsi="Bookman Old Style"/>
          <w:b/>
          <w:sz w:val="24"/>
          <w:szCs w:val="24"/>
        </w:rPr>
        <w:t>AKAD TRANSAKSI UMR</w:t>
      </w:r>
      <w:r>
        <w:rPr>
          <w:rFonts w:ascii="Bookman Old Style" w:hAnsi="Bookman Old Style"/>
          <w:b/>
          <w:sz w:val="24"/>
          <w:szCs w:val="24"/>
        </w:rPr>
        <w:t>A</w:t>
      </w:r>
      <w:r w:rsidRPr="008D6750">
        <w:rPr>
          <w:rFonts w:ascii="Bookman Old Style" w:hAnsi="Bookman Old Style"/>
          <w:b/>
          <w:sz w:val="24"/>
          <w:szCs w:val="24"/>
        </w:rPr>
        <w:t xml:space="preserve">H: </w:t>
      </w:r>
    </w:p>
    <w:p w14:paraId="3E0997A3" w14:textId="643F79EF" w:rsidR="00516C75" w:rsidRPr="00516C75" w:rsidRDefault="00CA0092" w:rsidP="00516C75">
      <w:pPr>
        <w:spacing w:after="0" w:line="240" w:lineRule="auto"/>
        <w:jc w:val="center"/>
        <w:rPr>
          <w:rFonts w:ascii="Bookman Old Style" w:hAnsi="Bookman Old Style"/>
          <w:b/>
          <w:sz w:val="24"/>
          <w:szCs w:val="24"/>
        </w:rPr>
      </w:pPr>
      <w:r w:rsidRPr="008D6750">
        <w:rPr>
          <w:rFonts w:ascii="Bookman Old Style" w:hAnsi="Bookman Old Style"/>
          <w:b/>
          <w:sz w:val="24"/>
          <w:szCs w:val="24"/>
        </w:rPr>
        <w:t xml:space="preserve">KAJIAN KOMPARATIF </w:t>
      </w:r>
      <w:r w:rsidR="008D6750" w:rsidRPr="008D6750">
        <w:rPr>
          <w:rFonts w:ascii="Bookman Old Style" w:hAnsi="Bookman Old Style"/>
          <w:b/>
          <w:sz w:val="24"/>
          <w:szCs w:val="24"/>
        </w:rPr>
        <w:t>ANTARA BAY D</w:t>
      </w:r>
      <w:r>
        <w:rPr>
          <w:rFonts w:ascii="Bookman Old Style" w:hAnsi="Bookman Old Style"/>
          <w:b/>
          <w:sz w:val="24"/>
          <w:szCs w:val="24"/>
        </w:rPr>
        <w:t>AN</w:t>
      </w:r>
      <w:r w:rsidR="008D6750" w:rsidRPr="008D6750">
        <w:rPr>
          <w:rFonts w:ascii="Bookman Old Style" w:hAnsi="Bookman Old Style"/>
          <w:b/>
          <w:sz w:val="24"/>
          <w:szCs w:val="24"/>
        </w:rPr>
        <w:t xml:space="preserve"> </w:t>
      </w:r>
      <w:r w:rsidR="004C55CF" w:rsidRPr="004C55CF">
        <w:rPr>
          <w:rFonts w:ascii="Bookman Old Style" w:hAnsi="Bookman Old Style"/>
          <w:b/>
          <w:i/>
          <w:iCs/>
          <w:sz w:val="24"/>
          <w:szCs w:val="24"/>
        </w:rPr>
        <w:t>IJARAH</w:t>
      </w:r>
    </w:p>
    <w:p w14:paraId="110B1F6F" w14:textId="77777777" w:rsidR="00516C75" w:rsidRPr="00516C75" w:rsidRDefault="00516C75" w:rsidP="00516C75">
      <w:pPr>
        <w:spacing w:after="0" w:line="240" w:lineRule="auto"/>
        <w:rPr>
          <w:rFonts w:ascii="Bookman Old Style" w:hAnsi="Bookman Old Style"/>
        </w:rPr>
      </w:pPr>
    </w:p>
    <w:p w14:paraId="72C1A948" w14:textId="46149E2A" w:rsidR="00516C75" w:rsidRPr="008D6750" w:rsidRDefault="008D6750" w:rsidP="00516C75">
      <w:pPr>
        <w:spacing w:after="0" w:line="240" w:lineRule="auto"/>
        <w:jc w:val="center"/>
        <w:rPr>
          <w:rFonts w:ascii="Bookman Old Style" w:hAnsi="Bookman Old Style"/>
          <w:b/>
          <w:vertAlign w:val="superscript"/>
        </w:rPr>
      </w:pPr>
      <w:r w:rsidRPr="008D6750">
        <w:rPr>
          <w:rFonts w:ascii="Bookman Old Style" w:hAnsi="Bookman Old Style"/>
          <w:b/>
        </w:rPr>
        <w:t>Sugeng Widodo</w:t>
      </w:r>
      <w:r>
        <w:rPr>
          <w:rFonts w:ascii="Bookman Old Style" w:hAnsi="Bookman Old Style"/>
          <w:b/>
          <w:vertAlign w:val="superscript"/>
        </w:rPr>
        <w:t>a</w:t>
      </w:r>
      <w:r w:rsidRPr="008D6750">
        <w:rPr>
          <w:rFonts w:ascii="Bookman Old Style" w:hAnsi="Bookman Old Style"/>
          <w:b/>
        </w:rPr>
        <w:t>, Salihah Khairawati</w:t>
      </w:r>
      <w:r>
        <w:rPr>
          <w:rFonts w:ascii="Bookman Old Style" w:hAnsi="Bookman Old Style"/>
          <w:b/>
          <w:vertAlign w:val="superscript"/>
        </w:rPr>
        <w:t>b</w:t>
      </w:r>
    </w:p>
    <w:p w14:paraId="6FFF871B" w14:textId="16A510AA" w:rsidR="008D6750" w:rsidRPr="008D6750" w:rsidRDefault="008D6750" w:rsidP="008D6750">
      <w:pPr>
        <w:spacing w:after="0" w:line="240" w:lineRule="auto"/>
        <w:jc w:val="center"/>
        <w:rPr>
          <w:rFonts w:ascii="Bookman Old Style" w:hAnsi="Bookman Old Style"/>
          <w:sz w:val="20"/>
          <w:szCs w:val="20"/>
        </w:rPr>
      </w:pPr>
      <w:r>
        <w:rPr>
          <w:rFonts w:ascii="Bookman Old Style" w:hAnsi="Bookman Old Style"/>
          <w:sz w:val="20"/>
          <w:szCs w:val="20"/>
          <w:vertAlign w:val="superscript"/>
        </w:rPr>
        <w:t>a, b</w:t>
      </w:r>
      <w:r>
        <w:rPr>
          <w:rFonts w:ascii="Bookman Old Style" w:hAnsi="Bookman Old Style"/>
          <w:sz w:val="20"/>
          <w:szCs w:val="20"/>
        </w:rPr>
        <w:t xml:space="preserve"> </w:t>
      </w:r>
      <w:r w:rsidRPr="008D6750">
        <w:rPr>
          <w:rFonts w:ascii="Bookman Old Style" w:hAnsi="Bookman Old Style"/>
          <w:sz w:val="20"/>
          <w:szCs w:val="20"/>
        </w:rPr>
        <w:t>Sekolah Tinggi Ekonomi Islam Hamfara, Yogyakarta</w:t>
      </w:r>
    </w:p>
    <w:p w14:paraId="0A8825B2" w14:textId="2000A8F2" w:rsidR="00516C75" w:rsidRPr="00CE6B5C" w:rsidRDefault="00CE6B5C" w:rsidP="008D6750">
      <w:pPr>
        <w:spacing w:after="0" w:line="240" w:lineRule="auto"/>
        <w:jc w:val="center"/>
        <w:rPr>
          <w:rFonts w:ascii="Bookman Old Style" w:hAnsi="Bookman Old Style"/>
          <w:sz w:val="20"/>
          <w:szCs w:val="20"/>
          <w:vertAlign w:val="superscript"/>
        </w:rPr>
      </w:pPr>
      <w:r w:rsidRPr="00CE6B5C">
        <w:rPr>
          <w:rFonts w:ascii="Bookman Old Style" w:hAnsi="Bookman Old Style"/>
          <w:i/>
          <w:iCs/>
          <w:sz w:val="20"/>
          <w:szCs w:val="20"/>
        </w:rPr>
        <w:t>Surel</w:t>
      </w:r>
      <w:r>
        <w:rPr>
          <w:rFonts w:ascii="Bookman Old Style" w:hAnsi="Bookman Old Style"/>
          <w:sz w:val="20"/>
          <w:szCs w:val="20"/>
        </w:rPr>
        <w:t xml:space="preserve">: </w:t>
      </w:r>
      <w:r w:rsidR="008D6750" w:rsidRPr="008D6750">
        <w:rPr>
          <w:rFonts w:ascii="Bookman Old Style" w:hAnsi="Bookman Old Style"/>
          <w:sz w:val="20"/>
          <w:szCs w:val="20"/>
        </w:rPr>
        <w:t xml:space="preserve">Corresponding author: </w:t>
      </w:r>
      <w:hyperlink r:id="rId7" w:history="1">
        <w:r w:rsidRPr="00562E1D">
          <w:rPr>
            <w:rStyle w:val="Hyperlink"/>
            <w:rFonts w:ascii="Bookman Old Style" w:hAnsi="Bookman Old Style"/>
            <w:sz w:val="20"/>
            <w:szCs w:val="20"/>
          </w:rPr>
          <w:t>skbhamfara@gmail.com</w:t>
        </w:r>
      </w:hyperlink>
      <w:r>
        <w:rPr>
          <w:rFonts w:ascii="Bookman Old Style" w:hAnsi="Bookman Old Style"/>
          <w:sz w:val="20"/>
          <w:szCs w:val="20"/>
          <w:vertAlign w:val="superscript"/>
        </w:rPr>
        <w:t xml:space="preserve"> a</w:t>
      </w:r>
    </w:p>
    <w:p w14:paraId="7E15F3D0" w14:textId="77777777" w:rsidR="00A2737C" w:rsidRDefault="00A2737C" w:rsidP="00516C75">
      <w:pPr>
        <w:spacing w:after="0" w:line="240" w:lineRule="auto"/>
        <w:jc w:val="center"/>
        <w:rPr>
          <w:rFonts w:ascii="Bookman Old Style" w:hAnsi="Bookman Old Style"/>
          <w:sz w:val="20"/>
          <w:szCs w:val="20"/>
        </w:rPr>
      </w:pPr>
    </w:p>
    <w:p w14:paraId="6D9D169C" w14:textId="77777777" w:rsidR="00855BC9" w:rsidRDefault="00855BC9" w:rsidP="00516C75">
      <w:pPr>
        <w:spacing w:after="0" w:line="240" w:lineRule="auto"/>
        <w:rPr>
          <w:rFonts w:ascii="Bookman Old Style" w:hAnsi="Bookman Old Style"/>
          <w:lang w:val="en-US"/>
        </w:rPr>
      </w:pPr>
    </w:p>
    <w:tbl>
      <w:tblPr>
        <w:tblW w:w="8748" w:type="dxa"/>
        <w:tblBorders>
          <w:top w:val="single" w:sz="4" w:space="0" w:color="auto"/>
          <w:bottom w:val="single" w:sz="4" w:space="0" w:color="auto"/>
        </w:tblBorders>
        <w:tblLayout w:type="fixed"/>
        <w:tblLook w:val="04A0" w:firstRow="1" w:lastRow="0" w:firstColumn="1" w:lastColumn="0" w:noHBand="0" w:noVBand="1"/>
      </w:tblPr>
      <w:tblGrid>
        <w:gridCol w:w="3119"/>
        <w:gridCol w:w="249"/>
        <w:gridCol w:w="5380"/>
      </w:tblGrid>
      <w:tr w:rsidR="00516C75" w:rsidRPr="001D7887" w14:paraId="16ED19C1" w14:textId="77777777" w:rsidTr="00855BC9">
        <w:trPr>
          <w:trHeight w:val="2524"/>
        </w:trPr>
        <w:tc>
          <w:tcPr>
            <w:tcW w:w="3119" w:type="dxa"/>
            <w:tcBorders>
              <w:bottom w:val="single" w:sz="4" w:space="0" w:color="auto"/>
            </w:tcBorders>
            <w:shd w:val="clear" w:color="auto" w:fill="auto"/>
            <w:hideMark/>
          </w:tcPr>
          <w:p w14:paraId="3E7954FC" w14:textId="77777777" w:rsidR="00516C75" w:rsidRPr="001D7887" w:rsidRDefault="00516C75" w:rsidP="006F532B">
            <w:pPr>
              <w:keepNext/>
              <w:pBdr>
                <w:bottom w:val="single" w:sz="4" w:space="1" w:color="auto"/>
              </w:pBdr>
              <w:suppressAutoHyphens/>
              <w:contextualSpacing/>
              <w:rPr>
                <w:rFonts w:ascii="Bookman Old Style" w:eastAsia="SimSun" w:hAnsi="Bookman Old Style"/>
                <w:b/>
                <w:smallCaps/>
                <w:sz w:val="20"/>
                <w:szCs w:val="20"/>
                <w:lang w:val="en-IN" w:eastAsia="en-IN"/>
              </w:rPr>
            </w:pPr>
            <w:r w:rsidRPr="001D7887">
              <w:rPr>
                <w:rFonts w:ascii="Bookman Old Style" w:eastAsia="SimSun" w:hAnsi="Bookman Old Style"/>
                <w:b/>
                <w:smallCaps/>
                <w:sz w:val="20"/>
                <w:szCs w:val="20"/>
                <w:lang w:val="en-IN" w:eastAsia="en-IN"/>
              </w:rPr>
              <w:t>Info Artikel</w:t>
            </w:r>
          </w:p>
          <w:p w14:paraId="4FBE1A31" w14:textId="77777777" w:rsidR="00516C75" w:rsidRPr="001D7887" w:rsidRDefault="00516C75" w:rsidP="00516C75">
            <w:pPr>
              <w:spacing w:after="0"/>
              <w:rPr>
                <w:rFonts w:ascii="Bookman Old Style" w:eastAsia="SimSun" w:hAnsi="Bookman Old Style"/>
                <w:b/>
                <w:i/>
                <w:sz w:val="16"/>
                <w:szCs w:val="16"/>
                <w:lang w:val="en-IN" w:eastAsia="en-IN"/>
              </w:rPr>
            </w:pPr>
            <w:r>
              <w:rPr>
                <w:rFonts w:ascii="Bookman Old Style" w:eastAsia="SimSun" w:hAnsi="Bookman Old Style"/>
                <w:b/>
                <w:i/>
                <w:sz w:val="16"/>
                <w:szCs w:val="16"/>
                <w:lang w:val="en-IN" w:eastAsia="en-IN"/>
              </w:rPr>
              <w:t>AT TAUZI’</w:t>
            </w:r>
          </w:p>
          <w:p w14:paraId="4AFFB10D" w14:textId="1C7269F7" w:rsidR="00516C75" w:rsidRPr="001D7887" w:rsidRDefault="00516C7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Volume 2</w:t>
            </w:r>
            <w:r w:rsidR="00A70545">
              <w:rPr>
                <w:rFonts w:ascii="Bookman Old Style" w:eastAsia="SimSun" w:hAnsi="Bookman Old Style"/>
                <w:i/>
                <w:sz w:val="16"/>
                <w:szCs w:val="16"/>
                <w:lang w:val="en-IN" w:eastAsia="en-IN"/>
              </w:rPr>
              <w:t>3</w:t>
            </w:r>
          </w:p>
          <w:p w14:paraId="4E38251A" w14:textId="0356DB88" w:rsidR="00516C75" w:rsidRPr="001D7887" w:rsidRDefault="00516C7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 xml:space="preserve">Nomor </w:t>
            </w:r>
            <w:r w:rsidR="00A70545">
              <w:rPr>
                <w:rFonts w:ascii="Bookman Old Style" w:eastAsia="SimSun" w:hAnsi="Bookman Old Style"/>
                <w:i/>
                <w:sz w:val="16"/>
                <w:szCs w:val="16"/>
                <w:lang w:val="en-IN" w:eastAsia="en-IN"/>
              </w:rPr>
              <w:t>1</w:t>
            </w:r>
          </w:p>
          <w:p w14:paraId="5AF42711" w14:textId="20027792" w:rsidR="00516C75" w:rsidRPr="001D7887" w:rsidRDefault="00516C7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 xml:space="preserve">Halaman </w:t>
            </w:r>
            <w:r w:rsidR="00A70545">
              <w:rPr>
                <w:rFonts w:ascii="Bookman Old Style" w:eastAsia="SimSun" w:hAnsi="Bookman Old Style"/>
                <w:i/>
                <w:sz w:val="16"/>
                <w:szCs w:val="16"/>
                <w:lang w:val="en-IN" w:eastAsia="en-IN"/>
              </w:rPr>
              <w:t>53-6</w:t>
            </w:r>
            <w:r w:rsidR="00AA4C4F">
              <w:rPr>
                <w:rFonts w:ascii="Bookman Old Style" w:eastAsia="SimSun" w:hAnsi="Bookman Old Style"/>
                <w:i/>
                <w:sz w:val="16"/>
                <w:szCs w:val="16"/>
                <w:lang w:val="en-IN" w:eastAsia="en-IN"/>
              </w:rPr>
              <w:t>2</w:t>
            </w:r>
            <w:r>
              <w:rPr>
                <w:rFonts w:ascii="Bookman Old Style" w:eastAsia="SimSun" w:hAnsi="Bookman Old Style"/>
                <w:i/>
                <w:sz w:val="16"/>
                <w:szCs w:val="16"/>
                <w:lang w:val="en-IN" w:eastAsia="en-IN"/>
              </w:rPr>
              <w:t>.</w:t>
            </w:r>
          </w:p>
          <w:p w14:paraId="638BA219" w14:textId="2172EF5F" w:rsidR="00516C75" w:rsidRPr="001D7887" w:rsidRDefault="00A70545" w:rsidP="00516C75">
            <w:pPr>
              <w:spacing w:after="0"/>
              <w:rPr>
                <w:rFonts w:ascii="Bookman Old Style" w:eastAsia="SimSun" w:hAnsi="Bookman Old Style"/>
                <w:i/>
                <w:sz w:val="16"/>
                <w:szCs w:val="16"/>
                <w:lang w:val="en-IN" w:eastAsia="en-IN"/>
              </w:rPr>
            </w:pPr>
            <w:r>
              <w:rPr>
                <w:rFonts w:ascii="Bookman Old Style" w:eastAsia="SimSun" w:hAnsi="Bookman Old Style"/>
                <w:i/>
                <w:sz w:val="16"/>
                <w:szCs w:val="16"/>
                <w:lang w:val="en-IN" w:eastAsia="en-IN"/>
              </w:rPr>
              <w:t>Juni</w:t>
            </w:r>
            <w:r w:rsidR="00516C75" w:rsidRPr="001D7887">
              <w:rPr>
                <w:rFonts w:ascii="Bookman Old Style" w:eastAsia="SimSun" w:hAnsi="Bookman Old Style"/>
                <w:i/>
                <w:sz w:val="16"/>
                <w:szCs w:val="16"/>
                <w:lang w:val="en-IN" w:eastAsia="en-IN"/>
              </w:rPr>
              <w:t xml:space="preserve"> 202</w:t>
            </w:r>
            <w:r>
              <w:rPr>
                <w:rFonts w:ascii="Bookman Old Style" w:eastAsia="SimSun" w:hAnsi="Bookman Old Style"/>
                <w:i/>
                <w:sz w:val="16"/>
                <w:szCs w:val="16"/>
                <w:lang w:val="en-IN" w:eastAsia="en-IN"/>
              </w:rPr>
              <w:t>3</w:t>
            </w:r>
          </w:p>
          <w:p w14:paraId="7ED67AA3" w14:textId="00B0FE21" w:rsidR="00516C75" w:rsidRPr="00990A1B" w:rsidRDefault="00516C75" w:rsidP="00516C75">
            <w:pPr>
              <w:spacing w:after="0"/>
              <w:rPr>
                <w:rFonts w:ascii="Bookman Old Style" w:eastAsia="SimSun" w:hAnsi="Bookman Old Style"/>
                <w:i/>
                <w:sz w:val="16"/>
                <w:szCs w:val="16"/>
                <w:lang w:val="en-IN" w:eastAsia="en-IN"/>
              </w:rPr>
            </w:pPr>
            <w:r w:rsidRPr="00990A1B">
              <w:rPr>
                <w:rFonts w:ascii="Bookman Old Style" w:eastAsia="SimSun" w:hAnsi="Bookman Old Style"/>
                <w:i/>
                <w:sz w:val="16"/>
                <w:szCs w:val="16"/>
                <w:lang w:val="en-IN" w:eastAsia="en-IN"/>
              </w:rPr>
              <w:t>ISSN: 2086-</w:t>
            </w:r>
            <w:r w:rsidR="00990A1B" w:rsidRPr="00990A1B">
              <w:rPr>
                <w:rFonts w:ascii="Bookman Old Style" w:eastAsia="SimSun" w:hAnsi="Bookman Old Style"/>
                <w:i/>
                <w:sz w:val="16"/>
                <w:szCs w:val="16"/>
                <w:lang w:val="en-IN" w:eastAsia="en-IN"/>
              </w:rPr>
              <w:t>1184</w:t>
            </w:r>
          </w:p>
          <w:p w14:paraId="052BAC17" w14:textId="42ED359B" w:rsidR="00516C75" w:rsidRDefault="00516C75" w:rsidP="00516C75">
            <w:pPr>
              <w:spacing w:after="0"/>
              <w:rPr>
                <w:rFonts w:ascii="Bookman Old Style" w:eastAsia="SimSun" w:hAnsi="Bookman Old Style"/>
                <w:i/>
                <w:sz w:val="16"/>
                <w:szCs w:val="16"/>
                <w:lang w:val="en-IN" w:eastAsia="en-IN"/>
              </w:rPr>
            </w:pPr>
            <w:r w:rsidRPr="00990A1B">
              <w:rPr>
                <w:rFonts w:ascii="Bookman Old Style" w:eastAsia="SimSun" w:hAnsi="Bookman Old Style"/>
                <w:i/>
                <w:sz w:val="16"/>
                <w:szCs w:val="16"/>
                <w:lang w:val="en-IN" w:eastAsia="en-IN"/>
              </w:rPr>
              <w:t>e-ISSN: 2</w:t>
            </w:r>
            <w:r w:rsidR="00990A1B" w:rsidRPr="00990A1B">
              <w:rPr>
                <w:rFonts w:ascii="Bookman Old Style" w:eastAsia="SimSun" w:hAnsi="Bookman Old Style"/>
                <w:i/>
                <w:sz w:val="16"/>
                <w:szCs w:val="16"/>
                <w:lang w:val="en-IN" w:eastAsia="en-IN"/>
              </w:rPr>
              <w:t>715</w:t>
            </w:r>
            <w:r w:rsidRPr="00990A1B">
              <w:rPr>
                <w:rFonts w:ascii="Bookman Old Style" w:eastAsia="SimSun" w:hAnsi="Bookman Old Style"/>
                <w:i/>
                <w:sz w:val="16"/>
                <w:szCs w:val="16"/>
                <w:lang w:val="en-IN" w:eastAsia="en-IN"/>
              </w:rPr>
              <w:t>-</w:t>
            </w:r>
            <w:r w:rsidR="00990A1B" w:rsidRPr="00990A1B">
              <w:rPr>
                <w:rFonts w:ascii="Bookman Old Style" w:eastAsia="SimSun" w:hAnsi="Bookman Old Style"/>
                <w:i/>
                <w:sz w:val="16"/>
                <w:szCs w:val="16"/>
                <w:lang w:val="en-IN" w:eastAsia="en-IN"/>
              </w:rPr>
              <w:t>9043</w:t>
            </w:r>
          </w:p>
          <w:p w14:paraId="242124C6" w14:textId="3A6B3137" w:rsidR="00990A1B" w:rsidRPr="00990A1B" w:rsidRDefault="00990A1B" w:rsidP="00516C75">
            <w:pPr>
              <w:spacing w:after="0"/>
              <w:rPr>
                <w:rFonts w:ascii="Bookman Old Style" w:eastAsia="SimSun" w:hAnsi="Bookman Old Style"/>
                <w:i/>
                <w:sz w:val="12"/>
                <w:szCs w:val="12"/>
                <w:lang w:val="en-IN" w:eastAsia="en-IN"/>
              </w:rPr>
            </w:pPr>
            <w:r>
              <w:rPr>
                <w:rFonts w:ascii="Bookman Old Style" w:eastAsia="SimSun" w:hAnsi="Bookman Old Style"/>
                <w:i/>
                <w:sz w:val="16"/>
                <w:szCs w:val="16"/>
                <w:lang w:val="en-IN" w:eastAsia="en-IN"/>
              </w:rPr>
              <w:t>DOI: 10.37820</w:t>
            </w:r>
          </w:p>
          <w:p w14:paraId="77759EFB" w14:textId="77777777" w:rsidR="00516C75" w:rsidRPr="001D7887" w:rsidRDefault="00516C75" w:rsidP="00516C75">
            <w:pPr>
              <w:spacing w:after="0"/>
              <w:ind w:firstLine="720"/>
              <w:rPr>
                <w:rFonts w:ascii="Bookman Old Style" w:eastAsia="SimSun" w:hAnsi="Bookman Old Style"/>
                <w:i/>
                <w:sz w:val="16"/>
                <w:szCs w:val="16"/>
                <w:lang w:val="en-IN" w:eastAsia="en-IN"/>
              </w:rPr>
            </w:pPr>
          </w:p>
          <w:p w14:paraId="7660FEF6" w14:textId="77777777" w:rsidR="00516C75" w:rsidRPr="00516C75" w:rsidRDefault="00516C75" w:rsidP="00516C75">
            <w:pPr>
              <w:spacing w:after="0"/>
              <w:rPr>
                <w:rFonts w:ascii="Bookman Old Style" w:eastAsia="SimSun" w:hAnsi="Bookman Old Style"/>
                <w:b/>
                <w:i/>
                <w:sz w:val="16"/>
                <w:szCs w:val="16"/>
                <w:lang w:val="en-IN" w:eastAsia="en-IN"/>
              </w:rPr>
            </w:pPr>
            <w:r w:rsidRPr="00516C75">
              <w:rPr>
                <w:rFonts w:ascii="Bookman Old Style" w:eastAsia="SimSun" w:hAnsi="Bookman Old Style"/>
                <w:b/>
                <w:i/>
                <w:sz w:val="16"/>
                <w:szCs w:val="16"/>
                <w:lang w:val="en-IN" w:eastAsia="en-IN"/>
              </w:rPr>
              <w:t xml:space="preserve">Kronologi Artikel: </w:t>
            </w:r>
          </w:p>
          <w:p w14:paraId="02222645" w14:textId="77777777" w:rsidR="00516C75" w:rsidRPr="00DD5BB6" w:rsidRDefault="00516C75" w:rsidP="00516C75">
            <w:pPr>
              <w:spacing w:after="0"/>
              <w:rPr>
                <w:rFonts w:ascii="Bookman Old Style" w:eastAsia="SimSun" w:hAnsi="Bookman Old Style"/>
                <w:i/>
                <w:color w:val="000000" w:themeColor="text1"/>
                <w:sz w:val="16"/>
                <w:szCs w:val="16"/>
                <w:lang w:val="en-IN" w:eastAsia="en-IN"/>
              </w:rPr>
            </w:pPr>
            <w:r w:rsidRPr="00DD5BB6">
              <w:rPr>
                <w:rFonts w:ascii="Bookman Old Style" w:eastAsia="SimSun" w:hAnsi="Bookman Old Style"/>
                <w:i/>
                <w:color w:val="000000" w:themeColor="text1"/>
                <w:sz w:val="16"/>
                <w:szCs w:val="16"/>
                <w:lang w:val="en-IN" w:eastAsia="en-IN"/>
              </w:rPr>
              <w:t>Tanggal Masuk:</w:t>
            </w:r>
          </w:p>
          <w:p w14:paraId="7322E521" w14:textId="77777777" w:rsidR="00516C75" w:rsidRPr="00DD5BB6" w:rsidRDefault="00516C75" w:rsidP="00516C75">
            <w:pPr>
              <w:spacing w:after="0"/>
              <w:rPr>
                <w:rFonts w:ascii="Bookman Old Style" w:eastAsia="SimSun" w:hAnsi="Bookman Old Style"/>
                <w:color w:val="000000" w:themeColor="text1"/>
                <w:sz w:val="16"/>
                <w:szCs w:val="16"/>
                <w:lang w:val="en-IN" w:eastAsia="en-IN"/>
              </w:rPr>
            </w:pPr>
            <w:r w:rsidRPr="00DD5BB6">
              <w:rPr>
                <w:rFonts w:ascii="Bookman Old Style" w:eastAsia="SimSun" w:hAnsi="Bookman Old Style"/>
                <w:color w:val="000000" w:themeColor="text1"/>
                <w:sz w:val="16"/>
                <w:szCs w:val="16"/>
                <w:lang w:val="en-IN" w:eastAsia="en-IN"/>
              </w:rPr>
              <w:t>3 Januari 2022</w:t>
            </w:r>
          </w:p>
          <w:p w14:paraId="1CBD0872" w14:textId="77777777" w:rsidR="00516C75" w:rsidRPr="00DD5BB6" w:rsidRDefault="00516C75" w:rsidP="00516C75">
            <w:pPr>
              <w:spacing w:after="0"/>
              <w:rPr>
                <w:rFonts w:ascii="Bookman Old Style" w:eastAsia="SimSun" w:hAnsi="Bookman Old Style"/>
                <w:i/>
                <w:color w:val="000000" w:themeColor="text1"/>
                <w:sz w:val="16"/>
                <w:szCs w:val="16"/>
                <w:lang w:val="en-IN" w:eastAsia="en-IN"/>
              </w:rPr>
            </w:pPr>
            <w:r w:rsidRPr="00DD5BB6">
              <w:rPr>
                <w:rFonts w:ascii="Bookman Old Style" w:eastAsia="SimSun" w:hAnsi="Bookman Old Style"/>
                <w:i/>
                <w:color w:val="000000" w:themeColor="text1"/>
                <w:sz w:val="16"/>
                <w:szCs w:val="16"/>
                <w:lang w:val="en-IN" w:eastAsia="en-IN"/>
              </w:rPr>
              <w:t>Tanggal Revisi:</w:t>
            </w:r>
          </w:p>
          <w:p w14:paraId="1AF9C5B9" w14:textId="77777777" w:rsidR="00516C75" w:rsidRPr="00DD5BB6" w:rsidRDefault="00516C75" w:rsidP="00516C75">
            <w:pPr>
              <w:spacing w:after="0"/>
              <w:rPr>
                <w:rFonts w:ascii="Bookman Old Style" w:eastAsia="SimSun" w:hAnsi="Bookman Old Style"/>
                <w:color w:val="000000" w:themeColor="text1"/>
                <w:sz w:val="16"/>
                <w:szCs w:val="16"/>
                <w:lang w:val="en-IN" w:eastAsia="en-IN"/>
              </w:rPr>
            </w:pPr>
            <w:r w:rsidRPr="00DD5BB6">
              <w:rPr>
                <w:rFonts w:ascii="Bookman Old Style" w:eastAsia="SimSun" w:hAnsi="Bookman Old Style"/>
                <w:color w:val="000000" w:themeColor="text1"/>
                <w:sz w:val="16"/>
                <w:szCs w:val="16"/>
                <w:lang w:val="en-IN" w:eastAsia="en-IN"/>
              </w:rPr>
              <w:t>10 Maret 2022</w:t>
            </w:r>
          </w:p>
          <w:p w14:paraId="7B23088B" w14:textId="77777777" w:rsidR="00516C75" w:rsidRPr="00DD5BB6" w:rsidRDefault="00516C75" w:rsidP="00516C75">
            <w:pPr>
              <w:spacing w:after="0"/>
              <w:rPr>
                <w:rFonts w:ascii="Bookman Old Style" w:eastAsia="SimSun" w:hAnsi="Bookman Old Style"/>
                <w:i/>
                <w:color w:val="000000" w:themeColor="text1"/>
                <w:sz w:val="16"/>
                <w:szCs w:val="16"/>
                <w:lang w:val="en-IN" w:eastAsia="en-IN"/>
              </w:rPr>
            </w:pPr>
            <w:r w:rsidRPr="00DD5BB6">
              <w:rPr>
                <w:rFonts w:ascii="Bookman Old Style" w:eastAsia="SimSun" w:hAnsi="Bookman Old Style"/>
                <w:i/>
                <w:color w:val="000000" w:themeColor="text1"/>
                <w:sz w:val="16"/>
                <w:szCs w:val="16"/>
                <w:lang w:val="en-IN" w:eastAsia="en-IN"/>
              </w:rPr>
              <w:t>Tanggal Diterima:</w:t>
            </w:r>
          </w:p>
          <w:p w14:paraId="0A0BC17F" w14:textId="77777777" w:rsidR="00516C75" w:rsidRPr="00DD5BB6" w:rsidRDefault="00516C75" w:rsidP="00516C75">
            <w:pPr>
              <w:spacing w:after="0"/>
              <w:rPr>
                <w:rFonts w:ascii="Bookman Old Style" w:eastAsia="SimSun" w:hAnsi="Bookman Old Style"/>
                <w:color w:val="000000" w:themeColor="text1"/>
                <w:sz w:val="16"/>
                <w:szCs w:val="16"/>
                <w:lang w:val="en-IN" w:eastAsia="en-IN"/>
              </w:rPr>
            </w:pPr>
            <w:r w:rsidRPr="00DD5BB6">
              <w:rPr>
                <w:rFonts w:ascii="Bookman Old Style" w:eastAsia="SimSun" w:hAnsi="Bookman Old Style"/>
                <w:color w:val="000000" w:themeColor="text1"/>
                <w:sz w:val="16"/>
                <w:szCs w:val="16"/>
                <w:lang w:val="en-IN" w:eastAsia="en-IN"/>
              </w:rPr>
              <w:t>13 Mei 2022</w:t>
            </w:r>
          </w:p>
          <w:p w14:paraId="000AE880" w14:textId="77777777" w:rsidR="00516C75" w:rsidRPr="001D7887" w:rsidRDefault="00516C75" w:rsidP="00516C75">
            <w:pPr>
              <w:widowControl w:val="0"/>
              <w:tabs>
                <w:tab w:val="left" w:pos="1080"/>
              </w:tabs>
              <w:spacing w:after="0"/>
              <w:ind w:firstLine="720"/>
              <w:rPr>
                <w:rFonts w:ascii="Bookman Old Style" w:eastAsia="SimSun" w:hAnsi="Bookman Old Style"/>
                <w:sz w:val="16"/>
                <w:szCs w:val="16"/>
                <w:lang w:val="en-IN" w:eastAsia="en-IN"/>
              </w:rPr>
            </w:pPr>
            <w:r w:rsidRPr="001D7887">
              <w:rPr>
                <w:rFonts w:ascii="Bookman Old Style" w:eastAsia="SimSun" w:hAnsi="Bookman Old Style"/>
                <w:sz w:val="16"/>
                <w:szCs w:val="16"/>
                <w:lang w:val="en-IN" w:eastAsia="en-IN"/>
              </w:rPr>
              <w:tab/>
            </w:r>
          </w:p>
          <w:p w14:paraId="3D86354A" w14:textId="77777777" w:rsidR="00516C75" w:rsidRPr="00516C75" w:rsidRDefault="00516C75" w:rsidP="00516C75">
            <w:pPr>
              <w:spacing w:after="0"/>
              <w:rPr>
                <w:rFonts w:ascii="Bookman Old Style" w:eastAsia="SimSun" w:hAnsi="Bookman Old Style"/>
                <w:b/>
                <w:i/>
                <w:sz w:val="16"/>
                <w:szCs w:val="16"/>
                <w:lang w:val="en-IN" w:eastAsia="en-IN"/>
              </w:rPr>
            </w:pPr>
            <w:r w:rsidRPr="00516C75">
              <w:rPr>
                <w:rFonts w:ascii="Bookman Old Style" w:eastAsia="SimSun" w:hAnsi="Bookman Old Style"/>
                <w:b/>
                <w:i/>
                <w:sz w:val="16"/>
                <w:szCs w:val="16"/>
                <w:lang w:val="en-IN" w:eastAsia="en-IN"/>
              </w:rPr>
              <w:t>Kata Kunci:</w:t>
            </w:r>
          </w:p>
          <w:p w14:paraId="60B739F7" w14:textId="1342D47F" w:rsidR="00516C75" w:rsidRPr="00F600D5" w:rsidRDefault="00CA0092" w:rsidP="00516C75">
            <w:pPr>
              <w:spacing w:after="0"/>
              <w:rPr>
                <w:rFonts w:ascii="Bookman Old Style" w:eastAsia="SimSun" w:hAnsi="Bookman Old Style"/>
                <w:noProof/>
                <w:sz w:val="18"/>
                <w:szCs w:val="18"/>
              </w:rPr>
            </w:pPr>
            <w:r w:rsidRPr="00CA0092">
              <w:rPr>
                <w:rFonts w:ascii="Bookman Old Style" w:eastAsia="SimSun" w:hAnsi="Bookman Old Style"/>
                <w:noProof/>
                <w:sz w:val="18"/>
                <w:szCs w:val="18"/>
              </w:rPr>
              <w:t xml:space="preserve">akad transaksi, </w:t>
            </w:r>
            <w:r w:rsidR="00E26F8E">
              <w:rPr>
                <w:rFonts w:ascii="Bookman Old Style" w:eastAsia="SimSun" w:hAnsi="Bookman Old Style"/>
                <w:noProof/>
                <w:sz w:val="18"/>
                <w:szCs w:val="18"/>
              </w:rPr>
              <w:t>umrah</w:t>
            </w:r>
            <w:r w:rsidRPr="00CA0092">
              <w:rPr>
                <w:rFonts w:ascii="Bookman Old Style" w:eastAsia="SimSun" w:hAnsi="Bookman Old Style"/>
                <w:noProof/>
                <w:sz w:val="18"/>
                <w:szCs w:val="18"/>
              </w:rPr>
              <w:t>, bai’</w:t>
            </w:r>
            <w:r>
              <w:rPr>
                <w:rFonts w:ascii="Bookman Old Style" w:eastAsia="SimSun" w:hAnsi="Bookman Old Style"/>
                <w:noProof/>
                <w:sz w:val="18"/>
                <w:szCs w:val="18"/>
              </w:rPr>
              <w:t>,</w:t>
            </w:r>
            <w:r w:rsidRPr="00CA0092">
              <w:rPr>
                <w:rFonts w:ascii="Bookman Old Style" w:eastAsia="SimSun" w:hAnsi="Bookman Old Style"/>
                <w:noProof/>
                <w:sz w:val="18"/>
                <w:szCs w:val="18"/>
              </w:rPr>
              <w:t xml:space="preserve"> </w:t>
            </w:r>
            <w:r w:rsidR="004C55CF" w:rsidRPr="004C55CF">
              <w:rPr>
                <w:rFonts w:ascii="Bookman Old Style" w:eastAsia="SimSun" w:hAnsi="Bookman Old Style"/>
                <w:i/>
                <w:iCs/>
                <w:noProof/>
                <w:sz w:val="18"/>
                <w:szCs w:val="18"/>
              </w:rPr>
              <w:t>ijarah</w:t>
            </w:r>
          </w:p>
          <w:p w14:paraId="7037974A" w14:textId="77777777" w:rsidR="00516C75" w:rsidRPr="00957630" w:rsidRDefault="00516C75" w:rsidP="006F532B">
            <w:pPr>
              <w:rPr>
                <w:rFonts w:eastAsia="SimSun"/>
                <w:sz w:val="18"/>
                <w:szCs w:val="18"/>
                <w:lang w:eastAsia="en-IN"/>
              </w:rPr>
            </w:pPr>
          </w:p>
        </w:tc>
        <w:tc>
          <w:tcPr>
            <w:tcW w:w="249" w:type="dxa"/>
            <w:tcBorders>
              <w:bottom w:val="single" w:sz="4" w:space="0" w:color="auto"/>
            </w:tcBorders>
            <w:shd w:val="clear" w:color="auto" w:fill="auto"/>
          </w:tcPr>
          <w:p w14:paraId="1FB3D491" w14:textId="77777777" w:rsidR="00516C75" w:rsidRPr="001D7887" w:rsidRDefault="00516C75" w:rsidP="006F532B">
            <w:pPr>
              <w:widowControl w:val="0"/>
              <w:rPr>
                <w:rFonts w:eastAsia="SimSun"/>
                <w:sz w:val="16"/>
                <w:szCs w:val="20"/>
                <w:lang w:val="en-GB" w:eastAsia="en-IN"/>
              </w:rPr>
            </w:pPr>
          </w:p>
        </w:tc>
        <w:tc>
          <w:tcPr>
            <w:tcW w:w="5380" w:type="dxa"/>
            <w:tcBorders>
              <w:bottom w:val="single" w:sz="4" w:space="0" w:color="auto"/>
            </w:tcBorders>
            <w:shd w:val="clear" w:color="auto" w:fill="auto"/>
          </w:tcPr>
          <w:p w14:paraId="59BBCBA5" w14:textId="635B53E0" w:rsidR="008D6750" w:rsidRDefault="00516C75" w:rsidP="00CA0092">
            <w:pPr>
              <w:ind w:right="162"/>
              <w:jc w:val="both"/>
              <w:rPr>
                <w:rFonts w:ascii="Bookman Old Style" w:eastAsia="Arial Unicode MS" w:hAnsi="Bookman Old Style" w:cs="Times New Roman"/>
                <w:sz w:val="18"/>
                <w:szCs w:val="18"/>
                <w:bdr w:val="nil"/>
                <w:lang w:val="en-US" w:eastAsia="en-US"/>
              </w:rPr>
            </w:pPr>
            <w:r w:rsidRPr="001D7887">
              <w:rPr>
                <w:rFonts w:ascii="Bookman Old Style" w:eastAsia="Arial" w:hAnsi="Bookman Old Style"/>
                <w:b/>
                <w:i/>
                <w:sz w:val="18"/>
                <w:szCs w:val="18"/>
                <w:lang w:val="en-IN" w:eastAsia="en-IN"/>
              </w:rPr>
              <w:t>Abstrak: </w:t>
            </w:r>
            <w:r w:rsidR="008D6750">
              <w:rPr>
                <w:rFonts w:ascii="Bookman Old Style" w:eastAsia="Arial" w:hAnsi="Bookman Old Style"/>
                <w:b/>
                <w:i/>
                <w:sz w:val="18"/>
                <w:szCs w:val="18"/>
                <w:lang w:val="en-IN" w:eastAsia="en-IN"/>
              </w:rPr>
              <w:t xml:space="preserve">Akad Transaksi Umrah: </w:t>
            </w:r>
            <w:r w:rsidR="00CA0092">
              <w:rPr>
                <w:rFonts w:ascii="Bookman Old Style" w:eastAsia="Arial" w:hAnsi="Bookman Old Style"/>
                <w:b/>
                <w:i/>
                <w:sz w:val="18"/>
                <w:szCs w:val="18"/>
                <w:lang w:val="en-IN" w:eastAsia="en-IN"/>
              </w:rPr>
              <w:t xml:space="preserve">Kajian Komparatif </w:t>
            </w:r>
            <w:r w:rsidR="008D6750">
              <w:rPr>
                <w:rFonts w:ascii="Bookman Old Style" w:eastAsia="Arial" w:hAnsi="Bookman Old Style"/>
                <w:b/>
                <w:i/>
                <w:sz w:val="18"/>
                <w:szCs w:val="18"/>
                <w:lang w:val="en-IN" w:eastAsia="en-IN"/>
              </w:rPr>
              <w:t>Antara Bay D</w:t>
            </w:r>
            <w:r w:rsidR="00CA0092">
              <w:rPr>
                <w:rFonts w:ascii="Bookman Old Style" w:eastAsia="Arial" w:hAnsi="Bookman Old Style"/>
                <w:b/>
                <w:i/>
                <w:sz w:val="18"/>
                <w:szCs w:val="18"/>
                <w:lang w:val="en-IN" w:eastAsia="en-IN"/>
              </w:rPr>
              <w:t>an</w:t>
            </w:r>
            <w:r w:rsidR="008D6750">
              <w:rPr>
                <w:rFonts w:ascii="Bookman Old Style" w:eastAsia="Arial" w:hAnsi="Bookman Old Style"/>
                <w:b/>
                <w:i/>
                <w:sz w:val="18"/>
                <w:szCs w:val="18"/>
                <w:lang w:val="en-IN" w:eastAsia="en-IN"/>
              </w:rPr>
              <w:t xml:space="preserve"> </w:t>
            </w:r>
            <w:r w:rsidR="004C55CF" w:rsidRPr="004C55CF">
              <w:rPr>
                <w:rFonts w:ascii="Bookman Old Style" w:eastAsia="Arial" w:hAnsi="Bookman Old Style"/>
                <w:b/>
                <w:i/>
                <w:iCs/>
                <w:sz w:val="18"/>
                <w:szCs w:val="18"/>
                <w:lang w:val="en-IN" w:eastAsia="en-IN"/>
              </w:rPr>
              <w:t>Ijarah</w:t>
            </w:r>
            <w:r w:rsidR="00CA0092">
              <w:rPr>
                <w:rFonts w:ascii="Bookman Old Style" w:eastAsia="Arial" w:hAnsi="Bookman Old Style"/>
                <w:b/>
                <w:i/>
                <w:sz w:val="18"/>
                <w:szCs w:val="18"/>
                <w:lang w:val="en-IN" w:eastAsia="en-IN"/>
              </w:rPr>
              <w:t xml:space="preserve">. </w:t>
            </w:r>
            <w:r w:rsidR="008D6750" w:rsidRPr="008D6750">
              <w:rPr>
                <w:rFonts w:ascii="Bookman Old Style" w:eastAsia="Arial Unicode MS" w:hAnsi="Bookman Old Style" w:cs="Times New Roman"/>
                <w:sz w:val="18"/>
                <w:szCs w:val="18"/>
                <w:bdr w:val="nil"/>
                <w:lang w:val="en-US" w:eastAsia="en-US"/>
              </w:rPr>
              <w:t xml:space="preserve">Perkembangan jumlah biro penyelenggara </w:t>
            </w:r>
            <w:r w:rsidR="00E26F8E">
              <w:rPr>
                <w:rFonts w:ascii="Bookman Old Style" w:eastAsia="Arial Unicode MS" w:hAnsi="Bookman Old Style" w:cs="Times New Roman"/>
                <w:sz w:val="18"/>
                <w:szCs w:val="18"/>
                <w:bdr w:val="nil"/>
                <w:lang w:val="en-US" w:eastAsia="en-US"/>
              </w:rPr>
              <w:t>umrah</w:t>
            </w:r>
            <w:r w:rsidR="008D6750" w:rsidRPr="008D6750">
              <w:rPr>
                <w:rFonts w:ascii="Bookman Old Style" w:eastAsia="Arial Unicode MS" w:hAnsi="Bookman Old Style" w:cs="Times New Roman"/>
                <w:sz w:val="18"/>
                <w:szCs w:val="18"/>
                <w:bdr w:val="nil"/>
                <w:lang w:val="en-US" w:eastAsia="en-US"/>
              </w:rPr>
              <w:t xml:space="preserve"> di Indonesia meningkat beberapa tahun terakhir, hal ini merupakan respon terhadap tingginya animo masyarakat muslim untuk menjalankan ibadah umrah di tanah suci. Persoalan yang sering kali muncul dari biro maupun jasa layanan penyelenggara umrah adalah kesalahan dalam menggunakan akad transaksi </w:t>
            </w:r>
            <w:r w:rsidR="00E26F8E">
              <w:rPr>
                <w:rFonts w:ascii="Bookman Old Style" w:eastAsia="Arial Unicode MS" w:hAnsi="Bookman Old Style" w:cs="Times New Roman"/>
                <w:sz w:val="18"/>
                <w:szCs w:val="18"/>
                <w:bdr w:val="nil"/>
                <w:lang w:val="en-US" w:eastAsia="en-US"/>
              </w:rPr>
              <w:t>umrah</w:t>
            </w:r>
            <w:r w:rsidR="008D6750" w:rsidRPr="008D6750">
              <w:rPr>
                <w:rFonts w:ascii="Bookman Old Style" w:eastAsia="Arial Unicode MS" w:hAnsi="Bookman Old Style" w:cs="Times New Roman"/>
                <w:sz w:val="18"/>
                <w:szCs w:val="18"/>
                <w:bdr w:val="nil"/>
                <w:lang w:val="en-US" w:eastAsia="en-US"/>
              </w:rPr>
              <w:t xml:space="preserve">. Tujuan penelitian ini adalah untuk mengkaji akad transaksi layanan biro perjalanan umrah yang tepat sesuai dengan syarat dan rukun muamalah. Kajian ini merupakan kajian kualitatif bersifat diskriptif, studi literatur digunakan guna menganalisis </w:t>
            </w:r>
            <w:r w:rsidR="00E26F8E">
              <w:rPr>
                <w:rFonts w:ascii="Bookman Old Style" w:eastAsia="Arial Unicode MS" w:hAnsi="Bookman Old Style" w:cs="Times New Roman"/>
                <w:sz w:val="18"/>
                <w:szCs w:val="18"/>
                <w:bdr w:val="nil"/>
                <w:lang w:val="en-US" w:eastAsia="en-US"/>
              </w:rPr>
              <w:t>objek</w:t>
            </w:r>
            <w:r w:rsidR="008D6750" w:rsidRPr="008D6750">
              <w:rPr>
                <w:rFonts w:ascii="Bookman Old Style" w:eastAsia="Arial Unicode MS" w:hAnsi="Bookman Old Style" w:cs="Times New Roman"/>
                <w:sz w:val="18"/>
                <w:szCs w:val="18"/>
                <w:bdr w:val="nil"/>
                <w:lang w:val="en-US" w:eastAsia="en-US"/>
              </w:rPr>
              <w:t xml:space="preserve"> kajian, analisis dilakukan dengan membandingkan satu akad dengan akad lainnya, dan ditarik kesimpulan akad yang paling tepat untuk transaksi layanan </w:t>
            </w:r>
            <w:r w:rsidR="00E26F8E">
              <w:rPr>
                <w:rFonts w:ascii="Bookman Old Style" w:eastAsia="Arial Unicode MS" w:hAnsi="Bookman Old Style" w:cs="Times New Roman"/>
                <w:sz w:val="18"/>
                <w:szCs w:val="18"/>
                <w:bdr w:val="nil"/>
                <w:lang w:val="en-US" w:eastAsia="en-US"/>
              </w:rPr>
              <w:t>umrah</w:t>
            </w:r>
            <w:r w:rsidR="008D6750" w:rsidRPr="008D6750">
              <w:rPr>
                <w:rFonts w:ascii="Bookman Old Style" w:eastAsia="Arial Unicode MS" w:hAnsi="Bookman Old Style" w:cs="Times New Roman"/>
                <w:sz w:val="18"/>
                <w:szCs w:val="18"/>
                <w:bdr w:val="nil"/>
                <w:lang w:val="en-US" w:eastAsia="en-US"/>
              </w:rPr>
              <w:t xml:space="preserve">. Hasil analisis menyimpulkan bahwa akad </w:t>
            </w:r>
            <w:r w:rsidR="004C55CF" w:rsidRPr="004C55CF">
              <w:rPr>
                <w:rFonts w:ascii="Bookman Old Style" w:eastAsia="Arial Unicode MS" w:hAnsi="Bookman Old Style" w:cs="Times New Roman"/>
                <w:i/>
                <w:iCs/>
                <w:sz w:val="18"/>
                <w:szCs w:val="18"/>
                <w:bdr w:val="nil"/>
                <w:lang w:val="en-US" w:eastAsia="en-US"/>
              </w:rPr>
              <w:t>ijarah</w:t>
            </w:r>
            <w:r w:rsidR="008D6750" w:rsidRPr="008D6750">
              <w:rPr>
                <w:rFonts w:ascii="Bookman Old Style" w:eastAsia="Arial Unicode MS" w:hAnsi="Bookman Old Style" w:cs="Times New Roman"/>
                <w:sz w:val="18"/>
                <w:szCs w:val="18"/>
                <w:bdr w:val="nil"/>
                <w:lang w:val="en-US" w:eastAsia="en-US"/>
              </w:rPr>
              <w:t xml:space="preserve"> merupakan akad yang paling tepat bagi transaksi layanan perjalanan ibadah </w:t>
            </w:r>
            <w:r w:rsidR="00E26F8E">
              <w:rPr>
                <w:rFonts w:ascii="Bookman Old Style" w:eastAsia="Arial Unicode MS" w:hAnsi="Bookman Old Style" w:cs="Times New Roman"/>
                <w:sz w:val="18"/>
                <w:szCs w:val="18"/>
                <w:bdr w:val="nil"/>
                <w:lang w:val="en-US" w:eastAsia="en-US"/>
              </w:rPr>
              <w:t>umrah</w:t>
            </w:r>
            <w:r w:rsidR="008D6750" w:rsidRPr="008D6750">
              <w:rPr>
                <w:rFonts w:ascii="Bookman Old Style" w:eastAsia="Arial Unicode MS" w:hAnsi="Bookman Old Style" w:cs="Times New Roman"/>
                <w:sz w:val="18"/>
                <w:szCs w:val="18"/>
                <w:bdr w:val="nil"/>
                <w:lang w:val="en-US" w:eastAsia="en-US"/>
              </w:rPr>
              <w:t xml:space="preserve">, hal ini sudah sesuai dengan syarat dan rukun muamalah dalam Islam. </w:t>
            </w:r>
          </w:p>
          <w:p w14:paraId="1624A57B" w14:textId="15AD6984" w:rsidR="00516C75" w:rsidRPr="00A00F24" w:rsidRDefault="00516C75" w:rsidP="00A00F24">
            <w:pPr>
              <w:ind w:right="162"/>
              <w:jc w:val="both"/>
              <w:rPr>
                <w:rFonts w:ascii="Bookman Old Style" w:eastAsia="Arial" w:hAnsi="Bookman Old Style"/>
                <w:sz w:val="18"/>
                <w:szCs w:val="18"/>
                <w:lang w:val="en-IN" w:eastAsia="en-IN"/>
              </w:rPr>
            </w:pPr>
            <w:r w:rsidRPr="001D7887">
              <w:rPr>
                <w:rFonts w:ascii="Bookman Old Style" w:eastAsia="Arial" w:hAnsi="Bookman Old Style"/>
                <w:b/>
                <w:i/>
                <w:iCs/>
                <w:sz w:val="18"/>
                <w:szCs w:val="18"/>
                <w:lang w:val="en-IN" w:eastAsia="en-IN"/>
              </w:rPr>
              <w:t xml:space="preserve">Abstract: </w:t>
            </w:r>
            <w:r w:rsidR="00CA0092" w:rsidRPr="00CA0092">
              <w:rPr>
                <w:rFonts w:ascii="Bookman Old Style" w:eastAsia="Arial" w:hAnsi="Bookman Old Style"/>
                <w:b/>
                <w:i/>
                <w:iCs/>
                <w:sz w:val="18"/>
                <w:szCs w:val="18"/>
                <w:lang w:val="en-IN" w:eastAsia="en-IN"/>
              </w:rPr>
              <w:t xml:space="preserve">Umrah Transaction Agreement: A Comparative Study Between Bay and </w:t>
            </w:r>
            <w:r w:rsidR="004C55CF" w:rsidRPr="004C55CF">
              <w:rPr>
                <w:rFonts w:ascii="Bookman Old Style" w:eastAsia="Arial" w:hAnsi="Bookman Old Style"/>
                <w:b/>
                <w:i/>
                <w:iCs/>
                <w:sz w:val="18"/>
                <w:szCs w:val="18"/>
                <w:lang w:val="en-IN" w:eastAsia="en-IN"/>
              </w:rPr>
              <w:t>Ijarah</w:t>
            </w:r>
            <w:r w:rsidRPr="001D7887">
              <w:rPr>
                <w:rFonts w:ascii="Bookman Old Style" w:eastAsia="Arial" w:hAnsi="Bookman Old Style"/>
                <w:b/>
                <w:i/>
                <w:iCs/>
                <w:sz w:val="18"/>
                <w:szCs w:val="18"/>
                <w:lang w:val="en-IN" w:eastAsia="en-IN"/>
              </w:rPr>
              <w:t>.</w:t>
            </w:r>
            <w:r>
              <w:rPr>
                <w:rFonts w:ascii="Bookman Old Style" w:eastAsia="Arial" w:hAnsi="Bookman Old Style"/>
                <w:b/>
                <w:i/>
                <w:iCs/>
                <w:sz w:val="18"/>
                <w:szCs w:val="18"/>
                <w:lang w:val="en-IN" w:eastAsia="en-IN"/>
              </w:rPr>
              <w:t xml:space="preserve"> </w:t>
            </w:r>
            <w:r w:rsidR="00CA0092" w:rsidRPr="00CA0092">
              <w:rPr>
                <w:rFonts w:ascii="Bookman Old Style" w:eastAsia="Arial" w:hAnsi="Bookman Old Style"/>
                <w:i/>
                <w:iCs/>
                <w:sz w:val="18"/>
                <w:szCs w:val="18"/>
                <w:lang w:val="en-IN" w:eastAsia="en-IN"/>
              </w:rPr>
              <w:t xml:space="preserve">The growth of the number of Umrah organizing bureaus in Indonesia has increased in recent years, this is a response to the high interest of the Muslim community to perform the Umrah in the Holy Land. The problem that often arises from bureaus and Umrah service providers is a mistake in using a transaction agreement (contract). The purpose of this study was to examine the right service contract for the Umrah travel agency in accordance with the conditions and cornerstones of muamalah. This research is a descriptive qualitative study, a literature study is used to analyze the object of study, the analysis is done by comparing one contract with another contract, and conclusions drawn the most appropriate contract for Umrah service transactions. The results of the analysis concluded that the </w:t>
            </w:r>
            <w:r w:rsidR="004C55CF" w:rsidRPr="004C55CF">
              <w:rPr>
                <w:rFonts w:ascii="Bookman Old Style" w:eastAsia="Arial" w:hAnsi="Bookman Old Style"/>
                <w:i/>
                <w:iCs/>
                <w:sz w:val="18"/>
                <w:szCs w:val="18"/>
                <w:lang w:val="en-IN" w:eastAsia="en-IN"/>
              </w:rPr>
              <w:t>ijarah</w:t>
            </w:r>
            <w:r w:rsidR="00CA0092" w:rsidRPr="00CA0092">
              <w:rPr>
                <w:rFonts w:ascii="Bookman Old Style" w:eastAsia="Arial" w:hAnsi="Bookman Old Style"/>
                <w:i/>
                <w:iCs/>
                <w:sz w:val="18"/>
                <w:szCs w:val="18"/>
                <w:lang w:val="en-IN" w:eastAsia="en-IN"/>
              </w:rPr>
              <w:t xml:space="preserve"> contract is the most appropriate contract for the Umrah service contract, this is in accordance with the condiiton and cornerstone of muamalah in Islam</w:t>
            </w:r>
          </w:p>
        </w:tc>
      </w:tr>
      <w:tr w:rsidR="00516C75" w:rsidRPr="001D7887" w14:paraId="5DE94371" w14:textId="77777777" w:rsidTr="00855BC9">
        <w:tblPrEx>
          <w:tblBorders>
            <w:bottom w:val="none" w:sz="0" w:space="0" w:color="auto"/>
          </w:tblBorders>
          <w:tblLook w:val="0000" w:firstRow="0" w:lastRow="0" w:firstColumn="0" w:lastColumn="0" w:noHBand="0" w:noVBand="0"/>
        </w:tblPrEx>
        <w:trPr>
          <w:trHeight w:val="100"/>
        </w:trPr>
        <w:tc>
          <w:tcPr>
            <w:tcW w:w="8748" w:type="dxa"/>
            <w:gridSpan w:val="3"/>
            <w:tcBorders>
              <w:top w:val="single" w:sz="4" w:space="0" w:color="auto"/>
              <w:bottom w:val="single" w:sz="4" w:space="0" w:color="auto"/>
            </w:tcBorders>
            <w:shd w:val="clear" w:color="auto" w:fill="auto"/>
          </w:tcPr>
          <w:p w14:paraId="2101D230" w14:textId="2DC3CC02" w:rsidR="00516C75" w:rsidRPr="001D7887" w:rsidRDefault="00516C75" w:rsidP="00855BC9">
            <w:pPr>
              <w:ind w:right="162"/>
              <w:contextualSpacing/>
              <w:jc w:val="both"/>
              <w:rPr>
                <w:rFonts w:ascii="Bookman Old Style" w:eastAsia="SimSun" w:hAnsi="Bookman Old Style"/>
                <w:sz w:val="18"/>
                <w:szCs w:val="18"/>
                <w:lang w:val="en-IN" w:eastAsia="en-IN"/>
              </w:rPr>
            </w:pPr>
            <w:r w:rsidRPr="001D7887">
              <w:rPr>
                <w:rFonts w:ascii="Bookman Old Style" w:eastAsia="SimSun" w:hAnsi="Bookman Old Style"/>
                <w:sz w:val="18"/>
                <w:szCs w:val="18"/>
                <w:lang w:val="en-IN" w:eastAsia="en-IN"/>
              </w:rPr>
              <w:t xml:space="preserve">Disitasi sebagai: </w:t>
            </w:r>
            <w:r w:rsidR="00CA0092">
              <w:rPr>
                <w:rFonts w:ascii="Bookman Old Style" w:eastAsia="SimSun" w:hAnsi="Bookman Old Style"/>
                <w:sz w:val="18"/>
                <w:szCs w:val="18"/>
                <w:lang w:val="en-IN" w:eastAsia="en-IN"/>
              </w:rPr>
              <w:t>Widodo, S., Khairawati, S.,</w:t>
            </w:r>
            <w:r w:rsidRPr="00F600D5">
              <w:rPr>
                <w:rFonts w:ascii="Bookman Old Style" w:eastAsia="SimSun" w:hAnsi="Bookman Old Style"/>
                <w:sz w:val="18"/>
                <w:szCs w:val="18"/>
                <w:lang w:val="en-IN" w:eastAsia="en-IN"/>
              </w:rPr>
              <w:t xml:space="preserve"> (202</w:t>
            </w:r>
            <w:r w:rsidR="00CA0092">
              <w:rPr>
                <w:rFonts w:ascii="Bookman Old Style" w:eastAsia="SimSun" w:hAnsi="Bookman Old Style"/>
                <w:sz w:val="18"/>
                <w:szCs w:val="18"/>
                <w:lang w:val="en-IN" w:eastAsia="en-IN"/>
              </w:rPr>
              <w:t>3</w:t>
            </w:r>
            <w:r w:rsidRPr="00F600D5">
              <w:rPr>
                <w:rFonts w:ascii="Bookman Old Style" w:eastAsia="SimSun" w:hAnsi="Bookman Old Style"/>
                <w:sz w:val="18"/>
                <w:szCs w:val="18"/>
                <w:lang w:val="en-IN" w:eastAsia="en-IN"/>
              </w:rPr>
              <w:t>)</w:t>
            </w:r>
            <w:r>
              <w:rPr>
                <w:rFonts w:ascii="Bookman Old Style" w:eastAsia="SimSun" w:hAnsi="Bookman Old Style"/>
                <w:sz w:val="18"/>
                <w:szCs w:val="18"/>
                <w:lang w:val="en-IN" w:eastAsia="en-IN"/>
              </w:rPr>
              <w:t xml:space="preserve">. </w:t>
            </w:r>
            <w:r w:rsidR="00CA0092" w:rsidRPr="00CA0092">
              <w:rPr>
                <w:rFonts w:ascii="Bookman Old Style" w:eastAsia="SimSun" w:hAnsi="Bookman Old Style"/>
                <w:sz w:val="18"/>
                <w:szCs w:val="18"/>
                <w:lang w:val="en-IN" w:eastAsia="en-IN"/>
              </w:rPr>
              <w:t xml:space="preserve">Akad Transaksi Umrah: Kajian Komparatif Antara Bay Dan </w:t>
            </w:r>
            <w:r w:rsidR="004C55CF" w:rsidRPr="004C55CF">
              <w:rPr>
                <w:rFonts w:ascii="Bookman Old Style" w:eastAsia="SimSun" w:hAnsi="Bookman Old Style"/>
                <w:i/>
                <w:iCs/>
                <w:sz w:val="18"/>
                <w:szCs w:val="18"/>
                <w:lang w:val="en-IN" w:eastAsia="en-IN"/>
              </w:rPr>
              <w:t>Ijarah</w:t>
            </w:r>
            <w:r>
              <w:rPr>
                <w:rFonts w:ascii="Bookman Old Style" w:eastAsia="SimSun" w:hAnsi="Bookman Old Style"/>
                <w:sz w:val="18"/>
                <w:szCs w:val="18"/>
                <w:lang w:val="en-IN" w:eastAsia="en-IN"/>
              </w:rPr>
              <w:t xml:space="preserve">. </w:t>
            </w:r>
            <w:r w:rsidRPr="00F600D5">
              <w:rPr>
                <w:rFonts w:ascii="Bookman Old Style" w:eastAsia="SimSun" w:hAnsi="Bookman Old Style"/>
                <w:i/>
                <w:sz w:val="18"/>
                <w:szCs w:val="18"/>
                <w:lang w:val="en-IN" w:eastAsia="en-IN"/>
              </w:rPr>
              <w:t>AT-TAUZI': Jurnal Ekonomi Islam</w:t>
            </w:r>
            <w:r w:rsidRPr="00F600D5">
              <w:rPr>
                <w:rFonts w:ascii="Bookman Old Style" w:eastAsia="SimSun" w:hAnsi="Bookman Old Style"/>
                <w:sz w:val="18"/>
                <w:szCs w:val="18"/>
                <w:lang w:val="en-IN" w:eastAsia="en-IN"/>
              </w:rPr>
              <w:t xml:space="preserve">, 22(2), </w:t>
            </w:r>
            <w:r w:rsidR="00CE6B5C">
              <w:rPr>
                <w:rFonts w:ascii="Bookman Old Style" w:eastAsia="SimSun" w:hAnsi="Bookman Old Style"/>
                <w:sz w:val="18"/>
                <w:szCs w:val="18"/>
                <w:lang w:val="en-IN" w:eastAsia="en-IN"/>
              </w:rPr>
              <w:t>53-63</w:t>
            </w:r>
            <w:r w:rsidRPr="00F600D5">
              <w:rPr>
                <w:rFonts w:ascii="Bookman Old Style" w:eastAsia="SimSun" w:hAnsi="Bookman Old Style"/>
                <w:sz w:val="18"/>
                <w:szCs w:val="18"/>
                <w:lang w:val="en-IN" w:eastAsia="en-IN"/>
              </w:rPr>
              <w:t>.</w:t>
            </w:r>
            <w:r>
              <w:rPr>
                <w:rFonts w:ascii="Bookman Old Style" w:eastAsia="SimSun" w:hAnsi="Bookman Old Style"/>
                <w:sz w:val="18"/>
                <w:szCs w:val="18"/>
                <w:lang w:val="en-IN" w:eastAsia="en-IN"/>
              </w:rPr>
              <w:t xml:space="preserve"> </w:t>
            </w:r>
            <w:r w:rsidRPr="00F600D5">
              <w:rPr>
                <w:rFonts w:ascii="Bookman Old Style" w:eastAsia="SimSun" w:hAnsi="Bookman Old Style"/>
                <w:sz w:val="18"/>
                <w:szCs w:val="18"/>
                <w:lang w:val="en-IN" w:eastAsia="en-IN"/>
              </w:rPr>
              <w:t xml:space="preserve">doi: </w:t>
            </w:r>
            <w:hyperlink r:id="rId8" w:history="1">
              <w:r w:rsidRPr="00791A90">
                <w:rPr>
                  <w:rStyle w:val="Hyperlink"/>
                  <w:rFonts w:ascii="Bookman Old Style" w:eastAsia="SimSun" w:hAnsi="Bookman Old Style"/>
                  <w:sz w:val="18"/>
                  <w:szCs w:val="18"/>
                  <w:lang w:val="en-IN" w:eastAsia="en-IN"/>
                </w:rPr>
                <w:t>https://doi.org/10.37820/</w:t>
              </w:r>
              <w:r w:rsidRPr="007976B1">
                <w:rPr>
                  <w:rStyle w:val="Hyperlink"/>
                  <w:rFonts w:ascii="Bookman Old Style" w:eastAsia="SimSun" w:hAnsi="Bookman Old Style"/>
                  <w:color w:val="000000" w:themeColor="text1"/>
                  <w:sz w:val="18"/>
                  <w:szCs w:val="18"/>
                  <w:lang w:val="en-IN" w:eastAsia="en-IN"/>
                </w:rPr>
                <w:t>attauzi.v22i2.205</w:t>
              </w:r>
            </w:hyperlink>
          </w:p>
        </w:tc>
      </w:tr>
      <w:tr w:rsidR="00516C75" w:rsidRPr="00331766" w14:paraId="53807AA4" w14:textId="77777777" w:rsidTr="00855BC9">
        <w:tblPrEx>
          <w:tblBorders>
            <w:bottom w:val="none" w:sz="0" w:space="0" w:color="auto"/>
          </w:tblBorders>
          <w:tblLook w:val="0000" w:firstRow="0" w:lastRow="0" w:firstColumn="0" w:lastColumn="0" w:noHBand="0" w:noVBand="0"/>
        </w:tblPrEx>
        <w:trPr>
          <w:trHeight w:val="100"/>
        </w:trPr>
        <w:tc>
          <w:tcPr>
            <w:tcW w:w="8748" w:type="dxa"/>
            <w:gridSpan w:val="3"/>
            <w:tcBorders>
              <w:top w:val="single" w:sz="4" w:space="0" w:color="auto"/>
              <w:left w:val="nil"/>
              <w:bottom w:val="nil"/>
              <w:right w:val="nil"/>
            </w:tcBorders>
            <w:shd w:val="clear" w:color="auto" w:fill="auto"/>
          </w:tcPr>
          <w:p w14:paraId="58CD353E" w14:textId="77777777" w:rsidR="00516C75" w:rsidRPr="00331766" w:rsidRDefault="00516C75" w:rsidP="00855BC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60" w:lineRule="atLeast"/>
              <w:ind w:right="162"/>
              <w:rPr>
                <w:rFonts w:ascii="Times New Roman" w:eastAsia="Cambria" w:hAnsi="Times New Roman" w:cs="Times New Roman"/>
                <w:b/>
                <w:sz w:val="20"/>
                <w:szCs w:val="20"/>
              </w:rPr>
            </w:pPr>
          </w:p>
        </w:tc>
      </w:tr>
    </w:tbl>
    <w:p w14:paraId="02EDCDBC" w14:textId="77777777" w:rsidR="004E4E74" w:rsidRDefault="004E4E74" w:rsidP="00516C75">
      <w:pPr>
        <w:spacing w:after="0" w:line="240" w:lineRule="auto"/>
        <w:rPr>
          <w:rFonts w:ascii="Bookman Old Style" w:hAnsi="Bookman Old Style"/>
        </w:rPr>
      </w:pPr>
      <w:bookmarkStart w:id="0" w:name="_GoBack"/>
      <w:bookmarkEnd w:id="0"/>
    </w:p>
    <w:p w14:paraId="572FD801" w14:textId="77777777" w:rsidR="004E4E74" w:rsidRPr="00225B1A" w:rsidRDefault="004E4E74" w:rsidP="004E4E74">
      <w:pPr>
        <w:widowControl w:val="0"/>
        <w:spacing w:line="260" w:lineRule="atLeast"/>
        <w:jc w:val="both"/>
        <w:rPr>
          <w:rFonts w:ascii="Bookman Old Style" w:hAnsi="Bookman Old Style"/>
          <w:b/>
          <w:sz w:val="20"/>
          <w:szCs w:val="20"/>
        </w:rPr>
      </w:pPr>
      <w:r>
        <w:rPr>
          <w:rFonts w:ascii="Bookman Old Style" w:hAnsi="Bookman Old Style"/>
          <w:b/>
          <w:sz w:val="20"/>
          <w:szCs w:val="20"/>
        </w:rPr>
        <w:lastRenderedPageBreak/>
        <w:t>PENDAHULUAN</w:t>
      </w:r>
    </w:p>
    <w:p w14:paraId="71D4F5C2" w14:textId="1B7DEFEE" w:rsidR="00CA0092" w:rsidRPr="00CA0092" w:rsidRDefault="00CA0092" w:rsidP="00CA0092">
      <w:pPr>
        <w:widowControl w:val="0"/>
        <w:spacing w:after="240" w:line="260" w:lineRule="atLeast"/>
        <w:jc w:val="both"/>
        <w:rPr>
          <w:rFonts w:ascii="Bookman Old Style" w:hAnsi="Bookman Old Style"/>
          <w:sz w:val="20"/>
          <w:szCs w:val="20"/>
        </w:rPr>
      </w:pPr>
      <w:r w:rsidRPr="00CA0092">
        <w:rPr>
          <w:rFonts w:ascii="Bookman Old Style" w:hAnsi="Bookman Old Style"/>
          <w:sz w:val="20"/>
          <w:szCs w:val="20"/>
        </w:rPr>
        <w:t xml:space="preserve">Peningkatan minat masyarakat Indonesia untuk melakukan ibadah </w:t>
      </w:r>
      <w:r w:rsidR="00E26F8E">
        <w:rPr>
          <w:rFonts w:ascii="Bookman Old Style" w:hAnsi="Bookman Old Style"/>
          <w:sz w:val="20"/>
          <w:szCs w:val="20"/>
        </w:rPr>
        <w:t>umrah</w:t>
      </w:r>
      <w:r w:rsidRPr="00CA0092">
        <w:rPr>
          <w:rFonts w:ascii="Bookman Old Style" w:hAnsi="Bookman Old Style"/>
          <w:sz w:val="20"/>
          <w:szCs w:val="20"/>
        </w:rPr>
        <w:t xml:space="preserve"> ke tanah suci beberapa tahun terakhir ini mengalami lonjakan yang cukup menggembirakan. Menurut Direktur Bina Umrah dan Haji Khusus Kementerian Agama (Kemenag) M Arfi Hatim bahwa tahun 2017 jumlah jamaah yang melakukan </w:t>
      </w:r>
      <w:r w:rsidR="00E26F8E">
        <w:rPr>
          <w:rFonts w:ascii="Bookman Old Style" w:hAnsi="Bookman Old Style"/>
          <w:sz w:val="20"/>
          <w:szCs w:val="20"/>
        </w:rPr>
        <w:t>umrah</w:t>
      </w:r>
      <w:r w:rsidRPr="00CA0092">
        <w:rPr>
          <w:rFonts w:ascii="Bookman Old Style" w:hAnsi="Bookman Old Style"/>
          <w:sz w:val="20"/>
          <w:szCs w:val="20"/>
        </w:rPr>
        <w:t xml:space="preserve"> dari Indonesia sebanyak 870.000 peserta sedangkan pada tahun 2018 diperkirakan mencapai 1.000.000 peserta. Salah satu hal yang memicu peningkatan jumlah peserta </w:t>
      </w:r>
      <w:r w:rsidR="00E26F8E">
        <w:rPr>
          <w:rFonts w:ascii="Bookman Old Style" w:hAnsi="Bookman Old Style"/>
          <w:sz w:val="20"/>
          <w:szCs w:val="20"/>
        </w:rPr>
        <w:t>umrah</w:t>
      </w:r>
      <w:r w:rsidRPr="00CA0092">
        <w:rPr>
          <w:rFonts w:ascii="Bookman Old Style" w:hAnsi="Bookman Old Style"/>
          <w:sz w:val="20"/>
          <w:szCs w:val="20"/>
        </w:rPr>
        <w:t xml:space="preserve"> adalah daftar antrian keberangkatan haji yang cukup lama (Aini &amp; Wahab, 2016). Keadaan ini mendorong kemunculan perusahaan-perusahaan yang menawarkan paket perjalanan ibadah </w:t>
      </w:r>
      <w:r w:rsidR="00E26F8E">
        <w:rPr>
          <w:rFonts w:ascii="Bookman Old Style" w:hAnsi="Bookman Old Style"/>
          <w:sz w:val="20"/>
          <w:szCs w:val="20"/>
        </w:rPr>
        <w:t>umrah</w:t>
      </w:r>
      <w:r w:rsidRPr="00CA0092">
        <w:rPr>
          <w:rFonts w:ascii="Bookman Old Style" w:hAnsi="Bookman Old Style"/>
          <w:sz w:val="20"/>
          <w:szCs w:val="20"/>
        </w:rPr>
        <w:t xml:space="preserve">, baik yang hanya melayani sebatas ibadah </w:t>
      </w:r>
      <w:r w:rsidR="00E26F8E">
        <w:rPr>
          <w:rFonts w:ascii="Bookman Old Style" w:hAnsi="Bookman Old Style"/>
          <w:sz w:val="20"/>
          <w:szCs w:val="20"/>
        </w:rPr>
        <w:t>umrah</w:t>
      </w:r>
      <w:r w:rsidRPr="00CA0092">
        <w:rPr>
          <w:rFonts w:ascii="Bookman Old Style" w:hAnsi="Bookman Old Style"/>
          <w:sz w:val="20"/>
          <w:szCs w:val="20"/>
        </w:rPr>
        <w:t xml:space="preserve"> maupun penawaran melancong ke berbagai tujuan setelah usainya pelaksanaan ibadah </w:t>
      </w:r>
      <w:r w:rsidR="00E26F8E">
        <w:rPr>
          <w:rFonts w:ascii="Bookman Old Style" w:hAnsi="Bookman Old Style"/>
          <w:sz w:val="20"/>
          <w:szCs w:val="20"/>
        </w:rPr>
        <w:t>umrah</w:t>
      </w:r>
      <w:r w:rsidRPr="00CA0092">
        <w:rPr>
          <w:rFonts w:ascii="Bookman Old Style" w:hAnsi="Bookman Old Style"/>
          <w:sz w:val="20"/>
          <w:szCs w:val="20"/>
        </w:rPr>
        <w:t xml:space="preserve">. </w:t>
      </w:r>
    </w:p>
    <w:p w14:paraId="11E5000D" w14:textId="77777777" w:rsidR="00CA0092" w:rsidRPr="00CA0092" w:rsidRDefault="00CA0092" w:rsidP="00CA0092">
      <w:pPr>
        <w:widowControl w:val="0"/>
        <w:spacing w:after="240" w:line="260" w:lineRule="atLeast"/>
        <w:jc w:val="both"/>
        <w:rPr>
          <w:rFonts w:ascii="Bookman Old Style" w:hAnsi="Bookman Old Style"/>
          <w:sz w:val="20"/>
          <w:szCs w:val="20"/>
        </w:rPr>
      </w:pPr>
      <w:r w:rsidRPr="00CA0092">
        <w:rPr>
          <w:rFonts w:ascii="Bookman Old Style" w:hAnsi="Bookman Old Style"/>
          <w:sz w:val="20"/>
          <w:szCs w:val="20"/>
        </w:rPr>
        <w:t>Bisnis umrah di Indonesia sangat menarik bagi pebisnis. Konsep layanan yang ditawarkan oleh perusahan-perusahaan tersebut adalah ibadah saja atau ibadah plus wisata reliji, ibadah plus wisata muslim (moslem friendly tourism). Variasi layanan yang banyak,  berdampak secara otomatis jangka waktu yang diperlukan untuk perjalanan juga bervariatif (cepat dan lama), dan konsekuensinya harga layanannya bervariatif. Macam penyelenggaraannya  bisa yang bersifat rutin berdasarkan kalender bulanan ataupun untuk waktu atau bulan tertentu, misal umrah Romadhon.</w:t>
      </w:r>
    </w:p>
    <w:p w14:paraId="193FADD8" w14:textId="473B8704" w:rsidR="00CA0092" w:rsidRPr="00CA0092" w:rsidRDefault="00CA0092" w:rsidP="00CA0092">
      <w:pPr>
        <w:widowControl w:val="0"/>
        <w:spacing w:after="240" w:line="260" w:lineRule="atLeast"/>
        <w:jc w:val="both"/>
        <w:rPr>
          <w:rFonts w:ascii="Bookman Old Style" w:hAnsi="Bookman Old Style"/>
          <w:sz w:val="20"/>
          <w:szCs w:val="20"/>
        </w:rPr>
      </w:pPr>
      <w:r w:rsidRPr="00CA0092">
        <w:rPr>
          <w:rFonts w:ascii="Bookman Old Style" w:hAnsi="Bookman Old Style"/>
          <w:sz w:val="20"/>
          <w:szCs w:val="20"/>
        </w:rPr>
        <w:t xml:space="preserve">Pihak penyelenggara bisa biro perjalanan maupun lembaga keuangan Syariah, baik mikro (KSPPS-Koperasi Simpan Pinjam Pembiayaan Syariah), BPRS-Bank Pembiayaan Rakyat Syariah perbankan umum Islam atau Syariah maupun kerja sama antara Lembaga Keuangan Islam atau Lembaga Keuangan Syariah dengan biro perjalanan penyelenggara </w:t>
      </w:r>
      <w:r w:rsidR="00E26F8E">
        <w:rPr>
          <w:rFonts w:ascii="Bookman Old Style" w:hAnsi="Bookman Old Style"/>
          <w:sz w:val="20"/>
          <w:szCs w:val="20"/>
        </w:rPr>
        <w:t>umrah</w:t>
      </w:r>
      <w:r w:rsidRPr="00CA0092">
        <w:rPr>
          <w:rFonts w:ascii="Bookman Old Style" w:hAnsi="Bookman Old Style"/>
          <w:sz w:val="20"/>
          <w:szCs w:val="20"/>
        </w:rPr>
        <w:t xml:space="preserve">. Kerjasama dilakukan dengan bermacam-macam model, yakni lembaga sebagai tempat pendaftaran dan pembayaran ibadah umrah, lembaga menjadi lembaga penyandang dana pinjaman bagi jamaah yang dananya terbatas sehingga jamaah dapat berangkat </w:t>
      </w:r>
      <w:r w:rsidR="00E26F8E">
        <w:rPr>
          <w:rFonts w:ascii="Bookman Old Style" w:hAnsi="Bookman Old Style"/>
          <w:sz w:val="20"/>
          <w:szCs w:val="20"/>
        </w:rPr>
        <w:t>umrah</w:t>
      </w:r>
      <w:r w:rsidRPr="00CA0092">
        <w:rPr>
          <w:rFonts w:ascii="Bookman Old Style" w:hAnsi="Bookman Old Style"/>
          <w:sz w:val="20"/>
          <w:szCs w:val="20"/>
        </w:rPr>
        <w:t xml:space="preserve"> dengan pembayaran diangsur dan lembaga sebagai pengelola dana umrah dengan cara nasabah menyisihkan secara rutin pada lembaga dan pada saat dananya cukup nasabah dapat berangkat umrah. Dalam menjalankan setiap  kegiatannya Lembaga Keuangan Syariah atau Bank Syariah  harus mengikuti prinsip-prinsip syariah. Dalam prinsip Hukum Muamalat disebutkan bahwa segala bentuk muamalat dibolehkan kecuali yang dilarang oleh syariat. Seperti  halnya dengan penggunaan  akad. Setiap produk yang dikeluarkan oleh LKS harus menggunakan akad yang tepat (Aini &amp; Wahab, 2016).</w:t>
      </w:r>
    </w:p>
    <w:p w14:paraId="3AFCF702" w14:textId="78D00C17" w:rsidR="00CA0092" w:rsidRPr="00CA0092" w:rsidRDefault="004511F8" w:rsidP="00CA0092">
      <w:pPr>
        <w:widowControl w:val="0"/>
        <w:spacing w:after="240" w:line="260" w:lineRule="atLeast"/>
        <w:jc w:val="both"/>
        <w:rPr>
          <w:rFonts w:ascii="Bookman Old Style" w:hAnsi="Bookman Old Style"/>
          <w:sz w:val="20"/>
          <w:szCs w:val="20"/>
        </w:rPr>
      </w:pPr>
      <w:r>
        <w:rPr>
          <w:rFonts w:ascii="Bookman Old Style" w:hAnsi="Bookman Old Style"/>
          <w:sz w:val="20"/>
          <w:szCs w:val="20"/>
        </w:rPr>
        <w:t>B</w:t>
      </w:r>
      <w:r w:rsidR="00CA0092" w:rsidRPr="00CA0092">
        <w:rPr>
          <w:rFonts w:ascii="Bookman Old Style" w:hAnsi="Bookman Old Style"/>
          <w:sz w:val="20"/>
          <w:szCs w:val="20"/>
        </w:rPr>
        <w:t xml:space="preserve">anyaknya moda pembayaran umrah </w:t>
      </w:r>
      <w:r>
        <w:rPr>
          <w:rFonts w:ascii="Bookman Old Style" w:hAnsi="Bookman Old Style"/>
          <w:sz w:val="20"/>
          <w:szCs w:val="20"/>
        </w:rPr>
        <w:t xml:space="preserve">meningkatkan </w:t>
      </w:r>
      <w:r w:rsidR="00CA0092" w:rsidRPr="00CA0092">
        <w:rPr>
          <w:rFonts w:ascii="Bookman Old Style" w:hAnsi="Bookman Old Style"/>
          <w:sz w:val="20"/>
          <w:szCs w:val="20"/>
        </w:rPr>
        <w:t xml:space="preserve">peluang terjadinya penyimpangan-penyimpangan pada administrasi, akad muamalah, penyimpangan hukum yang pada </w:t>
      </w:r>
      <w:r>
        <w:rPr>
          <w:rFonts w:ascii="Bookman Old Style" w:hAnsi="Bookman Old Style"/>
          <w:sz w:val="20"/>
          <w:szCs w:val="20"/>
        </w:rPr>
        <w:t>bisa</w:t>
      </w:r>
      <w:r w:rsidR="00CA0092" w:rsidRPr="00CA0092">
        <w:rPr>
          <w:rFonts w:ascii="Bookman Old Style" w:hAnsi="Bookman Old Style"/>
          <w:sz w:val="20"/>
          <w:szCs w:val="20"/>
        </w:rPr>
        <w:t xml:space="preserve"> merugikan pihak jamaah. Berdasarkan penelusuran terhadap  penelitian yang pernah dilakukan oleh beberapa peneliti terdahulu yang mengkaji aspek legal (hukum) dari suatu travel agen umrah, seperti (Cahyaningrum, 2017) mengungkapkan adanya kasus fraud yang dilakukan oleh pemilik First Travel yakni adanya bentuk-bentuk pelanggaran hukum dari First Travel meliputi pelanggaran hak-hak sipil, kriminal dan adminisrasi. Lestari et al. </w:t>
      </w:r>
      <w:r>
        <w:rPr>
          <w:rFonts w:ascii="Bookman Old Style" w:hAnsi="Bookman Old Style"/>
          <w:sz w:val="20"/>
          <w:szCs w:val="20"/>
        </w:rPr>
        <w:t>(</w:t>
      </w:r>
      <w:r w:rsidR="00CA0092" w:rsidRPr="00CA0092">
        <w:rPr>
          <w:rFonts w:ascii="Bookman Old Style" w:hAnsi="Bookman Old Style"/>
          <w:sz w:val="20"/>
          <w:szCs w:val="20"/>
        </w:rPr>
        <w:t xml:space="preserve">2019) </w:t>
      </w:r>
      <w:r>
        <w:rPr>
          <w:rFonts w:ascii="Bookman Old Style" w:hAnsi="Bookman Old Style"/>
          <w:sz w:val="20"/>
          <w:szCs w:val="20"/>
        </w:rPr>
        <w:t xml:space="preserve">juga </w:t>
      </w:r>
      <w:r w:rsidR="00CA0092" w:rsidRPr="00CA0092">
        <w:rPr>
          <w:rFonts w:ascii="Bookman Old Style" w:hAnsi="Bookman Old Style"/>
          <w:sz w:val="20"/>
          <w:szCs w:val="20"/>
        </w:rPr>
        <w:t>mempelajari praktik talangan untuk ibadah haji</w:t>
      </w:r>
      <w:r>
        <w:rPr>
          <w:rFonts w:ascii="Bookman Old Style" w:hAnsi="Bookman Old Style"/>
          <w:sz w:val="20"/>
          <w:szCs w:val="20"/>
        </w:rPr>
        <w:t>, m</w:t>
      </w:r>
      <w:r w:rsidR="00CA0092" w:rsidRPr="00CA0092">
        <w:rPr>
          <w:rFonts w:ascii="Bookman Old Style" w:hAnsi="Bookman Old Style"/>
          <w:sz w:val="20"/>
          <w:szCs w:val="20"/>
        </w:rPr>
        <w:t xml:space="preserve">eskipun ketentuan biaya pendaftaran porsi haji sudah berubah. </w:t>
      </w:r>
    </w:p>
    <w:p w14:paraId="159CE2C4" w14:textId="133AC279" w:rsidR="00CA0092" w:rsidRPr="00CA0092" w:rsidRDefault="002C2E4B" w:rsidP="00CA0092">
      <w:pPr>
        <w:widowControl w:val="0"/>
        <w:spacing w:after="240" w:line="260" w:lineRule="atLeast"/>
        <w:jc w:val="both"/>
        <w:rPr>
          <w:rFonts w:ascii="Bookman Old Style" w:hAnsi="Bookman Old Style"/>
          <w:sz w:val="20"/>
          <w:szCs w:val="20"/>
        </w:rPr>
      </w:pPr>
      <w:r>
        <w:rPr>
          <w:rFonts w:ascii="Bookman Old Style" w:hAnsi="Bookman Old Style"/>
          <w:sz w:val="20"/>
          <w:szCs w:val="20"/>
        </w:rPr>
        <w:t xml:space="preserve">Berbagai </w:t>
      </w:r>
      <w:r w:rsidR="004511F8">
        <w:rPr>
          <w:rFonts w:ascii="Bookman Old Style" w:hAnsi="Bookman Old Style"/>
          <w:sz w:val="20"/>
          <w:szCs w:val="20"/>
        </w:rPr>
        <w:t>c</w:t>
      </w:r>
      <w:r w:rsidR="00CA0092" w:rsidRPr="00CA0092">
        <w:rPr>
          <w:rFonts w:ascii="Bookman Old Style" w:hAnsi="Bookman Old Style"/>
          <w:sz w:val="20"/>
          <w:szCs w:val="20"/>
        </w:rPr>
        <w:t>ara</w:t>
      </w:r>
      <w:r>
        <w:rPr>
          <w:rFonts w:ascii="Bookman Old Style" w:hAnsi="Bookman Old Style"/>
          <w:sz w:val="20"/>
          <w:szCs w:val="20"/>
        </w:rPr>
        <w:t xml:space="preserve"> </w:t>
      </w:r>
      <w:r w:rsidRPr="00CA0092">
        <w:rPr>
          <w:rFonts w:ascii="Bookman Old Style" w:hAnsi="Bookman Old Style"/>
          <w:sz w:val="20"/>
          <w:szCs w:val="20"/>
        </w:rPr>
        <w:t xml:space="preserve">dilakukan oleh berbagai perusahaan jasa penyelengara Biro Haji dan </w:t>
      </w:r>
      <w:r w:rsidR="00E26F8E">
        <w:rPr>
          <w:rFonts w:ascii="Bookman Old Style" w:hAnsi="Bookman Old Style"/>
          <w:sz w:val="20"/>
          <w:szCs w:val="20"/>
        </w:rPr>
        <w:t>Umrah</w:t>
      </w:r>
      <w:r w:rsidR="00CA0092" w:rsidRPr="00CA0092">
        <w:rPr>
          <w:rFonts w:ascii="Bookman Old Style" w:hAnsi="Bookman Old Style"/>
          <w:sz w:val="20"/>
          <w:szCs w:val="20"/>
        </w:rPr>
        <w:t xml:space="preserve"> untuk meningkatkan jumlah pelanggan atau jamaah haji plus dan </w:t>
      </w:r>
      <w:r w:rsidR="00E26F8E">
        <w:rPr>
          <w:rFonts w:ascii="Bookman Old Style" w:hAnsi="Bookman Old Style"/>
          <w:sz w:val="20"/>
          <w:szCs w:val="20"/>
        </w:rPr>
        <w:t>umrah</w:t>
      </w:r>
      <w:r>
        <w:rPr>
          <w:rFonts w:ascii="Bookman Old Style" w:hAnsi="Bookman Old Style"/>
          <w:sz w:val="20"/>
          <w:szCs w:val="20"/>
        </w:rPr>
        <w:t>.</w:t>
      </w:r>
      <w:r w:rsidR="00CA0092" w:rsidRPr="00CA0092">
        <w:rPr>
          <w:rFonts w:ascii="Bookman Old Style" w:hAnsi="Bookman Old Style"/>
          <w:sz w:val="20"/>
          <w:szCs w:val="20"/>
        </w:rPr>
        <w:t xml:space="preserve"> </w:t>
      </w:r>
      <w:r w:rsidRPr="00CA0092">
        <w:rPr>
          <w:rFonts w:ascii="Bookman Old Style" w:hAnsi="Bookman Old Style"/>
          <w:sz w:val="20"/>
          <w:szCs w:val="20"/>
        </w:rPr>
        <w:lastRenderedPageBreak/>
        <w:t>Amilia, Rachmawati</w:t>
      </w:r>
      <w:r>
        <w:rPr>
          <w:rFonts w:ascii="Bookman Old Style" w:hAnsi="Bookman Old Style"/>
          <w:sz w:val="20"/>
          <w:szCs w:val="20"/>
        </w:rPr>
        <w:t>,</w:t>
      </w:r>
      <w:r w:rsidRPr="00CA0092">
        <w:rPr>
          <w:rFonts w:ascii="Bookman Old Style" w:hAnsi="Bookman Old Style"/>
          <w:sz w:val="20"/>
          <w:szCs w:val="20"/>
        </w:rPr>
        <w:t xml:space="preserve"> &amp; Febriandika </w:t>
      </w:r>
      <w:r>
        <w:rPr>
          <w:rFonts w:ascii="Bookman Old Style" w:hAnsi="Bookman Old Style"/>
          <w:sz w:val="20"/>
          <w:szCs w:val="20"/>
        </w:rPr>
        <w:t>(</w:t>
      </w:r>
      <w:r w:rsidRPr="00CA0092">
        <w:rPr>
          <w:rFonts w:ascii="Bookman Old Style" w:hAnsi="Bookman Old Style"/>
          <w:sz w:val="20"/>
          <w:szCs w:val="20"/>
        </w:rPr>
        <w:t>2019)</w:t>
      </w:r>
      <w:r>
        <w:rPr>
          <w:rFonts w:ascii="Bookman Old Style" w:hAnsi="Bookman Old Style"/>
          <w:sz w:val="20"/>
          <w:szCs w:val="20"/>
        </w:rPr>
        <w:t xml:space="preserve"> meneliti </w:t>
      </w:r>
      <w:r w:rsidR="00CA0092" w:rsidRPr="00CA0092">
        <w:rPr>
          <w:rFonts w:ascii="Bookman Old Style" w:hAnsi="Bookman Old Style"/>
          <w:sz w:val="20"/>
          <w:szCs w:val="20"/>
        </w:rPr>
        <w:t xml:space="preserve">tentang implementasi strategi bisnis dengan skema model MLM pada Haji dan </w:t>
      </w:r>
      <w:r w:rsidR="00E26F8E">
        <w:rPr>
          <w:rFonts w:ascii="Bookman Old Style" w:hAnsi="Bookman Old Style"/>
          <w:sz w:val="20"/>
          <w:szCs w:val="20"/>
        </w:rPr>
        <w:t>Umrah</w:t>
      </w:r>
      <w:r w:rsidR="00CA0092" w:rsidRPr="00CA0092">
        <w:rPr>
          <w:rFonts w:ascii="Bookman Old Style" w:hAnsi="Bookman Old Style"/>
          <w:sz w:val="20"/>
          <w:szCs w:val="20"/>
        </w:rPr>
        <w:t xml:space="preserve"> bagi travel agen PT Arminareka. Hasil kajian yang dilakukan menegaskan bahwa praktek strategi bisnis dengan skema model MLM dari PT Arminareka menggunakan akad ju’alah berdasarkan fatwa DSN No: 83/DSN-MUI/2012 dan hal ini diperbolehkan. Imaniyati</w:t>
      </w:r>
      <w:r>
        <w:rPr>
          <w:rFonts w:ascii="Bookman Old Style" w:hAnsi="Bookman Old Style"/>
          <w:sz w:val="20"/>
          <w:szCs w:val="20"/>
        </w:rPr>
        <w:t xml:space="preserve"> (</w:t>
      </w:r>
      <w:r w:rsidR="00CA0092" w:rsidRPr="00CA0092">
        <w:rPr>
          <w:rFonts w:ascii="Bookman Old Style" w:hAnsi="Bookman Old Style"/>
          <w:sz w:val="20"/>
          <w:szCs w:val="20"/>
        </w:rPr>
        <w:t xml:space="preserve">2019) melakukan kajian hukum normatif dengan analisis deskriptif dengan menggunakan data sekunder. Hasil kajian terhadap peraturan hukum yang dikeluarkan Kementerian Agama No. 8 Tahun 2018 tidak mengatur secara rinci jenis akad jamaah umrah dengan penyelenggara (biro travel). Berdasarkan hukum ekonomi Islam, akad yang dianggap tepat adalah akad </w:t>
      </w:r>
      <w:r w:rsidR="004C55CF" w:rsidRPr="004C55CF">
        <w:rPr>
          <w:rFonts w:ascii="Bookman Old Style" w:hAnsi="Bookman Old Style"/>
          <w:i/>
          <w:iCs/>
          <w:sz w:val="20"/>
          <w:szCs w:val="20"/>
        </w:rPr>
        <w:t>Ijarah</w:t>
      </w:r>
      <w:r w:rsidR="00CA0092" w:rsidRPr="002C2E4B">
        <w:rPr>
          <w:rFonts w:ascii="Bookman Old Style" w:hAnsi="Bookman Old Style"/>
          <w:i/>
          <w:iCs/>
          <w:sz w:val="20"/>
          <w:szCs w:val="20"/>
        </w:rPr>
        <w:t xml:space="preserve"> al ‘amal musytarak</w:t>
      </w:r>
      <w:r w:rsidR="00CA0092" w:rsidRPr="00CA0092">
        <w:rPr>
          <w:rFonts w:ascii="Bookman Old Style" w:hAnsi="Bookman Old Style"/>
          <w:sz w:val="20"/>
          <w:szCs w:val="20"/>
        </w:rPr>
        <w:t>. Berdasarkan prinsip-prinsip syariah akad tidak boleh ada unsur riba, spekulasi, perjudian, haram, dan zalim.</w:t>
      </w:r>
    </w:p>
    <w:p w14:paraId="069F940E" w14:textId="3FF23684" w:rsidR="00CA0092" w:rsidRDefault="00CA0092" w:rsidP="00CA0092">
      <w:pPr>
        <w:widowControl w:val="0"/>
        <w:spacing w:after="240" w:line="260" w:lineRule="atLeast"/>
        <w:jc w:val="both"/>
        <w:rPr>
          <w:rFonts w:ascii="Bookman Old Style" w:hAnsi="Bookman Old Style"/>
          <w:sz w:val="20"/>
          <w:szCs w:val="20"/>
        </w:rPr>
      </w:pPr>
      <w:r w:rsidRPr="00CA0092">
        <w:rPr>
          <w:rFonts w:ascii="Bookman Old Style" w:hAnsi="Bookman Old Style"/>
          <w:sz w:val="20"/>
          <w:szCs w:val="20"/>
        </w:rPr>
        <w:t xml:space="preserve">Kajian yang membahas mengenai akad transaksi pelayanan biro umrah hingga kini masih sedikit ditemukan. Kajian dalam artikel ini dimaksudkan untuk melengkapi keterbatasan literatur mengenai akad transaksi pelayanan biro umrah dengan pendekatan kajian komparatif antara akad </w:t>
      </w:r>
      <w:r w:rsidRPr="002C2E4B">
        <w:rPr>
          <w:rFonts w:ascii="Bookman Old Style" w:hAnsi="Bookman Old Style"/>
          <w:i/>
          <w:iCs/>
          <w:sz w:val="20"/>
          <w:szCs w:val="20"/>
        </w:rPr>
        <w:t>al</w:t>
      </w:r>
      <w:r w:rsidR="002C2E4B">
        <w:rPr>
          <w:rFonts w:ascii="Bookman Old Style" w:hAnsi="Bookman Old Style"/>
          <w:i/>
          <w:iCs/>
          <w:sz w:val="20"/>
          <w:szCs w:val="20"/>
        </w:rPr>
        <w:t>-</w:t>
      </w:r>
      <w:r w:rsidRPr="002C2E4B">
        <w:rPr>
          <w:rFonts w:ascii="Bookman Old Style" w:hAnsi="Bookman Old Style"/>
          <w:i/>
          <w:iCs/>
          <w:sz w:val="20"/>
          <w:szCs w:val="20"/>
        </w:rPr>
        <w:t>ba’i</w:t>
      </w:r>
      <w:r w:rsidRPr="00CA0092">
        <w:rPr>
          <w:rFonts w:ascii="Bookman Old Style" w:hAnsi="Bookman Old Style"/>
          <w:sz w:val="20"/>
          <w:szCs w:val="20"/>
        </w:rPr>
        <w:t xml:space="preserve"> dan akad </w:t>
      </w:r>
      <w:r w:rsidR="004C55CF" w:rsidRPr="004C55CF">
        <w:rPr>
          <w:rFonts w:ascii="Bookman Old Style" w:hAnsi="Bookman Old Style"/>
          <w:i/>
          <w:iCs/>
          <w:sz w:val="20"/>
          <w:szCs w:val="20"/>
        </w:rPr>
        <w:t>ijarah</w:t>
      </w:r>
      <w:r w:rsidRPr="00CA0092">
        <w:rPr>
          <w:rFonts w:ascii="Bookman Old Style" w:hAnsi="Bookman Old Style"/>
          <w:sz w:val="20"/>
          <w:szCs w:val="20"/>
        </w:rPr>
        <w:t>. Kajian komparatif dilakukan untuk memberi pandangan bagi pembaca mengenai akad yang lebih tepat digunakan bagi  akad transaksi pelayanan biro umrah. Maksud dari kajian ini adalah untuk mempelajari bagaimana model akad umrah yang dianggap sesuai dari beberapa akad dalam muamalah yang ada. Artikel ini dibagi menjadi empat bagian, pertama adalah abstrak dan pendahuluan, bagian kedua menjabarkan kajian literatur, bagian ketiga menjabarkan metode penelitian, adapun pada bagian keempat berisi pembahasan, sedangkan bagian terakhir  adalah kesimpulan, keterbatasan penelitian dan saran penelitian lanjutan.</w:t>
      </w:r>
    </w:p>
    <w:p w14:paraId="58C4BFAC" w14:textId="77777777" w:rsidR="009D34E8" w:rsidRDefault="009D34E8" w:rsidP="009D34E8">
      <w:pPr>
        <w:widowControl w:val="0"/>
        <w:spacing w:after="0" w:line="260" w:lineRule="atLeast"/>
        <w:jc w:val="both"/>
        <w:rPr>
          <w:rFonts w:ascii="Bookman Old Style" w:hAnsi="Bookman Old Style"/>
          <w:sz w:val="20"/>
          <w:szCs w:val="20"/>
        </w:rPr>
      </w:pPr>
    </w:p>
    <w:p w14:paraId="7EB49374" w14:textId="1D72654F" w:rsidR="00DE6169" w:rsidRPr="00225B1A" w:rsidRDefault="00DE6169" w:rsidP="00B66C59">
      <w:pPr>
        <w:widowControl w:val="0"/>
        <w:spacing w:line="260" w:lineRule="atLeast"/>
        <w:jc w:val="both"/>
        <w:rPr>
          <w:rFonts w:ascii="Bookman Old Style" w:hAnsi="Bookman Old Style"/>
          <w:b/>
          <w:sz w:val="20"/>
          <w:szCs w:val="20"/>
        </w:rPr>
      </w:pPr>
      <w:r>
        <w:rPr>
          <w:rFonts w:ascii="Bookman Old Style" w:hAnsi="Bookman Old Style"/>
          <w:b/>
          <w:sz w:val="20"/>
          <w:szCs w:val="20"/>
        </w:rPr>
        <w:t>TINJAUAN PUSTAKA</w:t>
      </w:r>
    </w:p>
    <w:p w14:paraId="2A1CAF79" w14:textId="4EAABA0A" w:rsidR="00DE6169" w:rsidRPr="00DE6169" w:rsidRDefault="00DE6169" w:rsidP="00B66C59">
      <w:pPr>
        <w:pStyle w:val="KisiSedang21"/>
        <w:spacing w:after="240" w:line="260" w:lineRule="atLeast"/>
        <w:jc w:val="both"/>
        <w:rPr>
          <w:rFonts w:ascii="Bookman Old Style" w:eastAsia="Arial Unicode MS" w:hAnsi="Bookman Old Style"/>
          <w:sz w:val="20"/>
          <w:szCs w:val="20"/>
          <w:bdr w:val="nil"/>
        </w:rPr>
      </w:pPr>
      <w:r w:rsidRPr="00B66C59">
        <w:rPr>
          <w:rFonts w:ascii="Bookman Old Style" w:eastAsia="Arial Unicode MS" w:hAnsi="Bookman Old Style"/>
          <w:b/>
          <w:bCs/>
          <w:sz w:val="20"/>
          <w:szCs w:val="20"/>
          <w:bdr w:val="nil"/>
        </w:rPr>
        <w:t>Ibadah Umr</w:t>
      </w:r>
      <w:r w:rsidR="002C2E4B" w:rsidRPr="00B66C59">
        <w:rPr>
          <w:rFonts w:ascii="Bookman Old Style" w:eastAsia="Arial Unicode MS" w:hAnsi="Bookman Old Style"/>
          <w:b/>
          <w:bCs/>
          <w:sz w:val="20"/>
          <w:szCs w:val="20"/>
          <w:bdr w:val="nil"/>
        </w:rPr>
        <w:t>a</w:t>
      </w:r>
      <w:r w:rsidRPr="00B66C59">
        <w:rPr>
          <w:rFonts w:ascii="Bookman Old Style" w:eastAsia="Arial Unicode MS" w:hAnsi="Bookman Old Style"/>
          <w:b/>
          <w:bCs/>
          <w:sz w:val="20"/>
          <w:szCs w:val="20"/>
          <w:bdr w:val="nil"/>
        </w:rPr>
        <w:t>h</w:t>
      </w:r>
      <w:r w:rsidR="002C2E4B" w:rsidRPr="00B66C59">
        <w:rPr>
          <w:rFonts w:ascii="Bookman Old Style" w:eastAsia="Arial Unicode MS" w:hAnsi="Bookman Old Style"/>
          <w:b/>
          <w:bCs/>
          <w:sz w:val="20"/>
          <w:szCs w:val="20"/>
          <w:bdr w:val="nil"/>
        </w:rPr>
        <w:t>.</w:t>
      </w:r>
      <w:r w:rsidR="00B66C59">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Umrah, dalam bahasa Arab, artinya ziarah. Menurut pendapat lainnya pergi ke suatu tempat yang berpenghuni. Ibadah ini disebut umrah karena boleh dilaksanakan sepanjang umur. Adapun pengertian, umrah dalam istilah syariat adalah: pergi ke Ka'bah untuk menunaikan ibadah, yaitu thawaf dan sa’i (Al Zuhayli, 2002). Menurut Mughniyah (2015) jenis Umr</w:t>
      </w:r>
      <w:r w:rsidR="002C2E4B">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h ada dua (2), yaitu: </w:t>
      </w:r>
      <w:r w:rsidRPr="00B66C59">
        <w:rPr>
          <w:rFonts w:ascii="Bookman Old Style" w:eastAsia="Arial Unicode MS" w:hAnsi="Bookman Old Style"/>
          <w:i/>
          <w:iCs/>
          <w:sz w:val="20"/>
          <w:szCs w:val="20"/>
          <w:bdr w:val="nil"/>
        </w:rPr>
        <w:t>Umr</w:t>
      </w:r>
      <w:r w:rsidR="002C2E4B" w:rsidRPr="00B66C59">
        <w:rPr>
          <w:rFonts w:ascii="Bookman Old Style" w:eastAsia="Arial Unicode MS" w:hAnsi="Bookman Old Style"/>
          <w:i/>
          <w:iCs/>
          <w:sz w:val="20"/>
          <w:szCs w:val="20"/>
          <w:bdr w:val="nil"/>
        </w:rPr>
        <w:t>a</w:t>
      </w:r>
      <w:r w:rsidRPr="00B66C59">
        <w:rPr>
          <w:rFonts w:ascii="Bookman Old Style" w:eastAsia="Arial Unicode MS" w:hAnsi="Bookman Old Style"/>
          <w:i/>
          <w:iCs/>
          <w:sz w:val="20"/>
          <w:szCs w:val="20"/>
          <w:bdr w:val="nil"/>
        </w:rPr>
        <w:t>h Mufradah</w:t>
      </w:r>
      <w:r w:rsidRPr="00DE6169">
        <w:rPr>
          <w:rFonts w:ascii="Bookman Old Style" w:eastAsia="Arial Unicode MS" w:hAnsi="Bookman Old Style"/>
          <w:sz w:val="20"/>
          <w:szCs w:val="20"/>
          <w:bdr w:val="nil"/>
        </w:rPr>
        <w:t xml:space="preserve"> (berpisah dengan haji) dan </w:t>
      </w:r>
      <w:r w:rsidRPr="00B66C59">
        <w:rPr>
          <w:rFonts w:ascii="Bookman Old Style" w:eastAsia="Arial Unicode MS" w:hAnsi="Bookman Old Style"/>
          <w:i/>
          <w:iCs/>
          <w:sz w:val="20"/>
          <w:szCs w:val="20"/>
          <w:bdr w:val="nil"/>
        </w:rPr>
        <w:t>Umrah Tamatu</w:t>
      </w:r>
      <w:r w:rsidRPr="00DE6169">
        <w:rPr>
          <w:rFonts w:ascii="Bookman Old Style" w:eastAsia="Arial Unicode MS" w:hAnsi="Bookman Old Style"/>
          <w:sz w:val="20"/>
          <w:szCs w:val="20"/>
          <w:bdr w:val="nil"/>
        </w:rPr>
        <w:t xml:space="preserve"> (Bersama haji). Hukum Umrah menurut madzhab Hanafi dan pendapat yang paling rajih dalam madzhab Maliki, umrah itu sunnah muakad satu kali seumur hidup. Adapun pengulangan umrah menurut madzhab Syafi’i, Hambali, dan Hanafi, seseorang boleh berumrah berkali-kali dalam setahun (Al Zuhayli, 2002).</w:t>
      </w:r>
    </w:p>
    <w:p w14:paraId="3E179832" w14:textId="4F3C7289" w:rsidR="00DE6169" w:rsidRPr="00DE6169" w:rsidRDefault="00DE6169" w:rsidP="00B66C59">
      <w:pPr>
        <w:pStyle w:val="KisiSedang21"/>
        <w:spacing w:after="240" w:line="260" w:lineRule="atLeast"/>
        <w:jc w:val="both"/>
        <w:rPr>
          <w:rFonts w:ascii="Bookman Old Style" w:eastAsia="Arial Unicode MS" w:hAnsi="Bookman Old Style"/>
          <w:sz w:val="20"/>
          <w:szCs w:val="20"/>
          <w:bdr w:val="nil"/>
        </w:rPr>
      </w:pPr>
      <w:r w:rsidRPr="00B66C59">
        <w:rPr>
          <w:rFonts w:ascii="Bookman Old Style" w:eastAsia="Arial Unicode MS" w:hAnsi="Bookman Old Style"/>
          <w:b/>
          <w:bCs/>
          <w:sz w:val="20"/>
          <w:szCs w:val="20"/>
          <w:bdr w:val="nil"/>
        </w:rPr>
        <w:t>Jual-beli (al Bai’)</w:t>
      </w:r>
      <w:r w:rsidR="00B66C59" w:rsidRPr="00B66C59">
        <w:rPr>
          <w:rFonts w:ascii="Bookman Old Style" w:eastAsia="Arial Unicode MS" w:hAnsi="Bookman Old Style"/>
          <w:b/>
          <w:bCs/>
          <w:sz w:val="20"/>
          <w:szCs w:val="20"/>
          <w:bdr w:val="nil"/>
        </w:rPr>
        <w:t>.</w:t>
      </w:r>
      <w:r w:rsidR="00B66C59">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 xml:space="preserve">Menurut etimologi, jual-beli diartikan pertukaran sesuatu dengan sesuatu yang lain. </w:t>
      </w:r>
      <w:r w:rsidR="002C2E4B" w:rsidRPr="00DE6169">
        <w:rPr>
          <w:rFonts w:ascii="Bookman Old Style" w:eastAsia="Arial Unicode MS" w:hAnsi="Bookman Old Style"/>
          <w:sz w:val="20"/>
          <w:szCs w:val="20"/>
          <w:bdr w:val="nil"/>
        </w:rPr>
        <w:t xml:space="preserve">Rukun jual beli meliputi: bai’ (penjual), musytari (pembeli), shighat (ijab qabul), ma’qud ‘alaih (benda atau barang). </w:t>
      </w:r>
      <w:r w:rsidRPr="00DE6169">
        <w:rPr>
          <w:rFonts w:ascii="Bookman Old Style" w:eastAsia="Arial Unicode MS" w:hAnsi="Bookman Old Style"/>
          <w:sz w:val="20"/>
          <w:szCs w:val="20"/>
          <w:bdr w:val="nil"/>
        </w:rPr>
        <w:t>Rahmat (2001) menyam</w:t>
      </w:r>
      <w:r w:rsidR="002C2E4B">
        <w:rPr>
          <w:rFonts w:ascii="Bookman Old Style" w:eastAsia="Arial Unicode MS" w:hAnsi="Bookman Old Style"/>
          <w:sz w:val="20"/>
          <w:szCs w:val="20"/>
          <w:bdr w:val="nil"/>
        </w:rPr>
        <w:t>pai</w:t>
      </w:r>
      <w:r w:rsidRPr="00DE6169">
        <w:rPr>
          <w:rFonts w:ascii="Bookman Old Style" w:eastAsia="Arial Unicode MS" w:hAnsi="Bookman Old Style"/>
          <w:sz w:val="20"/>
          <w:szCs w:val="20"/>
          <w:bdr w:val="nil"/>
        </w:rPr>
        <w:t xml:space="preserve">kan bahwa </w:t>
      </w:r>
      <w:r w:rsidR="002C2E4B" w:rsidRPr="00DE6169">
        <w:rPr>
          <w:rFonts w:ascii="Bookman Old Style" w:eastAsia="Arial Unicode MS" w:hAnsi="Bookman Old Style"/>
          <w:sz w:val="20"/>
          <w:szCs w:val="20"/>
          <w:bdr w:val="nil"/>
        </w:rPr>
        <w:t xml:space="preserve">terdapat perbedaan pendapat </w:t>
      </w:r>
      <w:r w:rsidR="002C2E4B">
        <w:rPr>
          <w:rFonts w:ascii="Bookman Old Style" w:eastAsia="Arial Unicode MS" w:hAnsi="Bookman Old Style"/>
          <w:sz w:val="20"/>
          <w:szCs w:val="20"/>
          <w:bdr w:val="nil"/>
        </w:rPr>
        <w:t xml:space="preserve">para ulama tentang definisi </w:t>
      </w:r>
      <w:r w:rsidRPr="00DE6169">
        <w:rPr>
          <w:rFonts w:ascii="Bookman Old Style" w:eastAsia="Arial Unicode MS" w:hAnsi="Bookman Old Style"/>
          <w:sz w:val="20"/>
          <w:szCs w:val="20"/>
          <w:bdr w:val="nil"/>
        </w:rPr>
        <w:t>jual beli, antara lain:</w:t>
      </w:r>
      <w:r w:rsidR="002C2E4B">
        <w:rPr>
          <w:rFonts w:ascii="Bookman Old Style" w:eastAsia="Arial Unicode MS" w:hAnsi="Bookman Old Style"/>
          <w:sz w:val="20"/>
          <w:szCs w:val="20"/>
          <w:bdr w:val="nil"/>
        </w:rPr>
        <w:t xml:space="preserve"> (a) </w:t>
      </w:r>
      <w:r w:rsidRPr="00DE6169">
        <w:rPr>
          <w:rFonts w:ascii="Bookman Old Style" w:eastAsia="Arial Unicode MS" w:hAnsi="Bookman Old Style"/>
          <w:sz w:val="20"/>
          <w:szCs w:val="20"/>
          <w:bdr w:val="nil"/>
        </w:rPr>
        <w:t>Ulama Hanafiyah</w:t>
      </w:r>
      <w:r w:rsidR="002C2E4B">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Pertukaran harta (benda) dengan harta berdasarkan cara khusus (yang dibolehkan)</w:t>
      </w:r>
      <w:r w:rsidR="002C2E4B">
        <w:rPr>
          <w:rFonts w:ascii="Bookman Old Style" w:eastAsia="Arial Unicode MS" w:hAnsi="Bookman Old Style"/>
          <w:sz w:val="20"/>
          <w:szCs w:val="20"/>
          <w:bdr w:val="nil"/>
        </w:rPr>
        <w:t>; (</w:t>
      </w:r>
      <w:r w:rsidRPr="00DE6169">
        <w:rPr>
          <w:rFonts w:ascii="Bookman Old Style" w:eastAsia="Arial Unicode MS" w:hAnsi="Bookman Old Style"/>
          <w:sz w:val="20"/>
          <w:szCs w:val="20"/>
          <w:bdr w:val="nil"/>
        </w:rPr>
        <w:t>b)</w:t>
      </w:r>
      <w:r w:rsidR="002C2E4B">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Imam Nawawi</w:t>
      </w:r>
      <w:r w:rsidR="002C2E4B">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Pertukaran harta dengan harta untuk kepemilikan</w:t>
      </w:r>
      <w:r w:rsidR="002C2E4B">
        <w:rPr>
          <w:rFonts w:ascii="Bookman Old Style" w:eastAsia="Arial Unicode MS" w:hAnsi="Bookman Old Style"/>
          <w:sz w:val="20"/>
          <w:szCs w:val="20"/>
          <w:bdr w:val="nil"/>
        </w:rPr>
        <w:t xml:space="preserve">; dan (c) </w:t>
      </w:r>
      <w:r w:rsidRPr="00DE6169">
        <w:rPr>
          <w:rFonts w:ascii="Bookman Old Style" w:eastAsia="Arial Unicode MS" w:hAnsi="Bookman Old Style"/>
          <w:sz w:val="20"/>
          <w:szCs w:val="20"/>
          <w:bdr w:val="nil"/>
        </w:rPr>
        <w:t>Ibnu Qadamah</w:t>
      </w:r>
      <w:r w:rsidR="002C2E4B">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Pertukaran harta dengan harta untuk saling menjadikan hak milik.</w:t>
      </w:r>
    </w:p>
    <w:p w14:paraId="0F36546A" w14:textId="4920325C" w:rsidR="00DE6169" w:rsidRPr="00DE6169" w:rsidRDefault="00DE6169" w:rsidP="00B66C59">
      <w:pPr>
        <w:pStyle w:val="KisiSedang21"/>
        <w:spacing w:line="260" w:lineRule="atLeast"/>
        <w:jc w:val="both"/>
        <w:rPr>
          <w:rFonts w:ascii="Bookman Old Style" w:eastAsia="Arial Unicode MS" w:hAnsi="Bookman Old Style"/>
          <w:sz w:val="20"/>
          <w:szCs w:val="20"/>
          <w:bdr w:val="nil"/>
        </w:rPr>
      </w:pPr>
      <w:r w:rsidRPr="00B66C59">
        <w:rPr>
          <w:rFonts w:ascii="Bookman Old Style" w:eastAsia="Arial Unicode MS" w:hAnsi="Bookman Old Style"/>
          <w:b/>
          <w:bCs/>
          <w:sz w:val="20"/>
          <w:szCs w:val="20"/>
          <w:bdr w:val="nil"/>
        </w:rPr>
        <w:t>Murabahah</w:t>
      </w:r>
      <w:r w:rsidR="00B66C59" w:rsidRPr="00B66C59">
        <w:rPr>
          <w:rFonts w:ascii="Bookman Old Style" w:eastAsia="Arial Unicode MS" w:hAnsi="Bookman Old Style"/>
          <w:b/>
          <w:bCs/>
          <w:sz w:val="20"/>
          <w:szCs w:val="20"/>
          <w:bdr w:val="nil"/>
        </w:rPr>
        <w:t>.</w:t>
      </w:r>
      <w:r w:rsidR="00B66C59">
        <w:rPr>
          <w:rFonts w:ascii="Bookman Old Style" w:eastAsia="Arial Unicode MS" w:hAnsi="Bookman Old Style"/>
          <w:sz w:val="20"/>
          <w:szCs w:val="20"/>
          <w:bdr w:val="nil"/>
        </w:rPr>
        <w:t xml:space="preserve"> </w:t>
      </w:r>
      <w:r w:rsidRPr="00DE6169">
        <w:rPr>
          <w:rFonts w:ascii="Bookman Old Style" w:eastAsia="Arial Unicode MS" w:hAnsi="Bookman Old Style"/>
          <w:sz w:val="20"/>
          <w:szCs w:val="20"/>
          <w:bdr w:val="nil"/>
        </w:rPr>
        <w:t xml:space="preserve">Murabahah adalah istilah fiqih Islam dan mengacu pada jenis penjualan tertentu yang tidak ada hubungannya dengan pembiayaan dalam arti aslinya. Jika seorang penjual setuju dengan pembeli untuk memberinya komoditas tertentu pada </w:t>
      </w:r>
      <w:r w:rsidRPr="00DE6169">
        <w:rPr>
          <w:rFonts w:ascii="Bookman Old Style" w:eastAsia="Arial Unicode MS" w:hAnsi="Bookman Old Style"/>
          <w:sz w:val="20"/>
          <w:szCs w:val="20"/>
          <w:bdr w:val="nil"/>
        </w:rPr>
        <w:lastRenderedPageBreak/>
        <w:t xml:space="preserve">keuntungan tertentu yang ditambahkan ke biayanya, itu disebut transaksi murabahah. Konsep dasar murabahah adalah bahwa penjual mengungkapkan biaya aktual yang telah dikeluarkan untuk memperoleh komoditas, dan kemudian menambahkan beberapa keuntungan di atasnya. Keuntungan ini bisa dalam nominal atau lump sum atau persentase (Usmani, 1998). </w:t>
      </w:r>
    </w:p>
    <w:p w14:paraId="32512DD7" w14:textId="3168DF59"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Zuhayli </w:t>
      </w:r>
      <w:r w:rsidR="002C2E4B">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2002)</w:t>
      </w:r>
      <w:r w:rsidR="002C2E4B">
        <w:rPr>
          <w:rFonts w:ascii="Bookman Old Style" w:eastAsia="Arial Unicode MS" w:hAnsi="Bookman Old Style"/>
          <w:sz w:val="20"/>
          <w:szCs w:val="20"/>
          <w:bdr w:val="nil"/>
        </w:rPr>
        <w:t xml:space="preserve"> berpendapat bahwa</w:t>
      </w:r>
      <w:r w:rsidRPr="00DE6169">
        <w:rPr>
          <w:rFonts w:ascii="Bookman Old Style" w:eastAsia="Arial Unicode MS" w:hAnsi="Bookman Old Style"/>
          <w:sz w:val="20"/>
          <w:szCs w:val="20"/>
          <w:bdr w:val="nil"/>
        </w:rPr>
        <w:t xml:space="preserve"> </w:t>
      </w:r>
      <w:r w:rsidRPr="002C2E4B">
        <w:rPr>
          <w:rFonts w:ascii="Bookman Old Style" w:eastAsia="Arial Unicode MS" w:hAnsi="Bookman Old Style"/>
          <w:i/>
          <w:iCs/>
          <w:sz w:val="20"/>
          <w:szCs w:val="20"/>
          <w:bdr w:val="nil"/>
        </w:rPr>
        <w:t>cost plus sale</w:t>
      </w:r>
      <w:r w:rsidRPr="00DE6169">
        <w:rPr>
          <w:rFonts w:ascii="Bookman Old Style" w:eastAsia="Arial Unicode MS" w:hAnsi="Bookman Old Style"/>
          <w:sz w:val="20"/>
          <w:szCs w:val="20"/>
          <w:bdr w:val="nil"/>
        </w:rPr>
        <w:t xml:space="preserve"> (</w:t>
      </w:r>
      <w:r w:rsidRPr="002C2E4B">
        <w:rPr>
          <w:rFonts w:ascii="Bookman Old Style" w:eastAsia="Arial Unicode MS" w:hAnsi="Bookman Old Style"/>
          <w:i/>
          <w:iCs/>
          <w:sz w:val="20"/>
          <w:szCs w:val="20"/>
          <w:bdr w:val="nil"/>
        </w:rPr>
        <w:t>bay'u al-murabaha</w:t>
      </w:r>
      <w:r w:rsidRPr="00DE6169">
        <w:rPr>
          <w:rFonts w:ascii="Bookman Old Style" w:eastAsia="Arial Unicode MS" w:hAnsi="Bookman Old Style"/>
          <w:sz w:val="20"/>
          <w:szCs w:val="20"/>
          <w:bdr w:val="nil"/>
        </w:rPr>
        <w:t>): dalam penjualan ini adalah objek dijual pada harga diperoleh ditambah marjin keuntungan tertentu. Madzab Maliki mendefinisikan transaksi ini demikian: penjual menginformasikan ke pembeli biaya perolehan objek jual-beli, dan menambahkan marjin keuntungan baik secara nominal atau lump sum</w:t>
      </w:r>
      <w:r w:rsidR="00135AFD">
        <w:rPr>
          <w:rFonts w:ascii="Bookman Old Style" w:eastAsia="Arial Unicode MS" w:hAnsi="Bookman Old Style"/>
          <w:sz w:val="20"/>
          <w:szCs w:val="20"/>
          <w:bdr w:val="nil"/>
        </w:rPr>
        <w:t>. Contohnya dengan akad</w:t>
      </w:r>
      <w:r w:rsidRPr="00DE6169">
        <w:rPr>
          <w:rFonts w:ascii="Bookman Old Style" w:eastAsia="Arial Unicode MS" w:hAnsi="Bookman Old Style"/>
          <w:sz w:val="20"/>
          <w:szCs w:val="20"/>
          <w:bdr w:val="nil"/>
        </w:rPr>
        <w:t xml:space="preserve"> </w:t>
      </w:r>
      <w:r w:rsidR="00135AFD">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saya membeli (barang) ini seharga 10, dan bayarlah saya 2 sebagai keuntungan</w:t>
      </w:r>
      <w:r w:rsidR="00135AFD">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atau dapat </w:t>
      </w:r>
      <w:r w:rsidR="00135AFD">
        <w:rPr>
          <w:rFonts w:ascii="Bookman Old Style" w:eastAsia="Arial Unicode MS" w:hAnsi="Bookman Old Style"/>
          <w:sz w:val="20"/>
          <w:szCs w:val="20"/>
          <w:bdr w:val="nil"/>
        </w:rPr>
        <w:t>din</w:t>
      </w:r>
      <w:r w:rsidRPr="00DE6169">
        <w:rPr>
          <w:rFonts w:ascii="Bookman Old Style" w:eastAsia="Arial Unicode MS" w:hAnsi="Bookman Old Style"/>
          <w:sz w:val="20"/>
          <w:szCs w:val="20"/>
          <w:bdr w:val="nil"/>
        </w:rPr>
        <w:t>yatakan marjin keuntungan secara persentase atau rasio</w:t>
      </w:r>
      <w:r w:rsidR="00135AFD">
        <w:rPr>
          <w:rFonts w:ascii="Bookman Old Style" w:eastAsia="Arial Unicode MS" w:hAnsi="Bookman Old Style"/>
          <w:sz w:val="20"/>
          <w:szCs w:val="20"/>
          <w:bdr w:val="nil"/>
        </w:rPr>
        <w:t>, misalnya dengan akad</w:t>
      </w:r>
      <w:r w:rsidRPr="00DE6169">
        <w:rPr>
          <w:rFonts w:ascii="Bookman Old Style" w:eastAsia="Arial Unicode MS" w:hAnsi="Bookman Old Style"/>
          <w:sz w:val="20"/>
          <w:szCs w:val="20"/>
          <w:bdr w:val="nil"/>
        </w:rPr>
        <w:t xml:space="preserve"> </w:t>
      </w:r>
      <w:r w:rsidR="00135AFD">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bayarlah saya 20% untuk keuntungan</w:t>
      </w:r>
      <w:r w:rsidR="00135AFD">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Madzab Hanafi mendefinisikan </w:t>
      </w:r>
      <w:r w:rsidR="00135AFD">
        <w:rPr>
          <w:rFonts w:ascii="Bookman Old Style" w:eastAsia="Arial Unicode MS" w:hAnsi="Bookman Old Style"/>
          <w:sz w:val="20"/>
          <w:szCs w:val="20"/>
          <w:bdr w:val="nil"/>
        </w:rPr>
        <w:t>sebagai</w:t>
      </w:r>
      <w:r w:rsidRPr="00DE6169">
        <w:rPr>
          <w:rFonts w:ascii="Bookman Old Style" w:eastAsia="Arial Unicode MS" w:hAnsi="Bookman Old Style"/>
          <w:sz w:val="20"/>
          <w:szCs w:val="20"/>
          <w:bdr w:val="nil"/>
        </w:rPr>
        <w:t xml:space="preserve"> transfer dari objek yang diperoleh dari transaksi sebelumnya untuk pertukaran sebesar harga asli/asal ditambah marjin keuntungan. Madzhab Syafi’i dan Hambali menyatakan </w:t>
      </w:r>
      <w:r w:rsidR="00135AFD">
        <w:rPr>
          <w:rFonts w:ascii="Bookman Old Style" w:eastAsia="Arial Unicode MS" w:hAnsi="Bookman Old Style"/>
          <w:sz w:val="20"/>
          <w:szCs w:val="20"/>
          <w:bdr w:val="nil"/>
        </w:rPr>
        <w:t>bahwa</w:t>
      </w:r>
      <w:r w:rsidRPr="00DE6169">
        <w:rPr>
          <w:rFonts w:ascii="Bookman Old Style" w:eastAsia="Arial Unicode MS" w:hAnsi="Bookman Old Style"/>
          <w:sz w:val="20"/>
          <w:szCs w:val="20"/>
          <w:bdr w:val="nil"/>
        </w:rPr>
        <w:t xml:space="preserve"> menjual (barang) sebesar harga pokok ditambah marjin keuntungan, asalkan kedua belah pihak mengetahui harga asalnya (biaya untuk mendapatkan objek penjualan).</w:t>
      </w:r>
    </w:p>
    <w:p w14:paraId="6F5867F2" w14:textId="7EA118B9"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Murabahah atau "cost plus sale", yang mana para pihak melakukan tawar-menawar pada marjin keuntungan atas harga (barang) yang (telah) diketahui (oleh mereka). Penjual harus mengungkapkan (secara jujur) biaya yang dia bayar untuk mendapatkan barang tersebut dan juga menyampaikan semua biayanya kepada pembeli (Ayub, 1999).</w:t>
      </w:r>
    </w:p>
    <w:p w14:paraId="100399F6" w14:textId="1FDC6EE0" w:rsidR="00DE6169" w:rsidRPr="00DE6169" w:rsidRDefault="004C55CF" w:rsidP="00B66C59">
      <w:pPr>
        <w:pStyle w:val="KisiSedang21"/>
        <w:spacing w:after="240" w:line="260" w:lineRule="atLeast"/>
        <w:jc w:val="both"/>
        <w:rPr>
          <w:rFonts w:ascii="Bookman Old Style" w:eastAsia="Arial Unicode MS" w:hAnsi="Bookman Old Style"/>
          <w:sz w:val="20"/>
          <w:szCs w:val="20"/>
          <w:bdr w:val="nil"/>
        </w:rPr>
      </w:pPr>
      <w:r w:rsidRPr="004C55CF">
        <w:rPr>
          <w:rFonts w:ascii="Bookman Old Style" w:eastAsia="Arial Unicode MS" w:hAnsi="Bookman Old Style"/>
          <w:b/>
          <w:bCs/>
          <w:i/>
          <w:iCs/>
          <w:sz w:val="20"/>
          <w:szCs w:val="20"/>
          <w:bdr w:val="nil"/>
        </w:rPr>
        <w:t>Ijarah</w:t>
      </w:r>
      <w:r w:rsidR="00B66C59" w:rsidRPr="00B66C59">
        <w:rPr>
          <w:rFonts w:ascii="Bookman Old Style" w:eastAsia="Arial Unicode MS" w:hAnsi="Bookman Old Style"/>
          <w:b/>
          <w:bCs/>
          <w:sz w:val="20"/>
          <w:szCs w:val="20"/>
          <w:bdr w:val="nil"/>
        </w:rPr>
        <w:t>.</w:t>
      </w:r>
      <w:r w:rsidR="00B66C59">
        <w:rPr>
          <w:rFonts w:ascii="Bookman Old Style" w:eastAsia="Arial Unicode MS" w:hAnsi="Bookman Old Style"/>
          <w:sz w:val="20"/>
          <w:szCs w:val="20"/>
          <w:bdr w:val="nil"/>
        </w:rPr>
        <w:t xml:space="preserve"> </w:t>
      </w:r>
      <w:r w:rsidR="00DE6169" w:rsidRPr="00DE6169">
        <w:rPr>
          <w:rFonts w:ascii="Bookman Old Style" w:eastAsia="Arial Unicode MS" w:hAnsi="Bookman Old Style"/>
          <w:sz w:val="20"/>
          <w:szCs w:val="20"/>
          <w:bdr w:val="nil"/>
        </w:rPr>
        <w:t xml:space="preserve">Usmani (1998) menyatakan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dalam fikih Islam secara leksikal berarti 'memberikan sesuatu untuk disewa'. Dalam yurisprudensi Islam, istilah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digunakan untuk dua situasi yang berbeda. Pertama, ini berarti mempekerjakan jasa seseorang dengan imbalan upah yang diberikan kepadanya sebagai imbalan jasanya.  Majikan disebut musta'jir sementara karyawan disebut ajir. Kedua,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berkaitan dengan manfaat (</w:t>
      </w:r>
      <w:r w:rsidR="00DE6169" w:rsidRPr="00135AFD">
        <w:rPr>
          <w:rFonts w:ascii="Bookman Old Style" w:eastAsia="Arial Unicode MS" w:hAnsi="Bookman Old Style"/>
          <w:i/>
          <w:iCs/>
          <w:sz w:val="20"/>
          <w:szCs w:val="20"/>
          <w:bdr w:val="nil"/>
        </w:rPr>
        <w:t>usufructs</w:t>
      </w:r>
      <w:r w:rsidR="00DE6169" w:rsidRPr="00DE6169">
        <w:rPr>
          <w:rFonts w:ascii="Bookman Old Style" w:eastAsia="Arial Unicode MS" w:hAnsi="Bookman Old Style"/>
          <w:sz w:val="20"/>
          <w:szCs w:val="20"/>
          <w:bdr w:val="nil"/>
        </w:rPr>
        <w:t>) barang dan properti, dan bukan pada jasa manusia.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dalam pengertian ini berarti 'untuk memindahkan manfaat (</w:t>
      </w:r>
      <w:r w:rsidR="00DE6169" w:rsidRPr="00135AFD">
        <w:rPr>
          <w:rFonts w:ascii="Bookman Old Style" w:eastAsia="Arial Unicode MS" w:hAnsi="Bookman Old Style"/>
          <w:i/>
          <w:iCs/>
          <w:sz w:val="20"/>
          <w:szCs w:val="20"/>
          <w:bdr w:val="nil"/>
        </w:rPr>
        <w:t>usufruct</w:t>
      </w:r>
      <w:r w:rsidR="00DE6169" w:rsidRPr="00DE6169">
        <w:rPr>
          <w:rFonts w:ascii="Bookman Old Style" w:eastAsia="Arial Unicode MS" w:hAnsi="Bookman Old Style"/>
          <w:sz w:val="20"/>
          <w:szCs w:val="20"/>
          <w:bdr w:val="nil"/>
        </w:rPr>
        <w:t>) harta tertentu kepada orang lain dengan imbalan sewa yang ditagihkan darinya (orang lain tersebut).  Terkait hal ini, istilah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sama dengan istilah '</w:t>
      </w:r>
      <w:r w:rsidRPr="004C55CF">
        <w:rPr>
          <w:rFonts w:ascii="Bookman Old Style" w:eastAsia="Arial Unicode MS" w:hAnsi="Bookman Old Style"/>
          <w:sz w:val="20"/>
          <w:szCs w:val="20"/>
          <w:bdr w:val="nil"/>
        </w:rPr>
        <w:t>leasing</w:t>
      </w:r>
      <w:r w:rsidR="00DE6169" w:rsidRPr="00DE6169">
        <w:rPr>
          <w:rFonts w:ascii="Bookman Old Style" w:eastAsia="Arial Unicode MS" w:hAnsi="Bookman Old Style"/>
          <w:sz w:val="20"/>
          <w:szCs w:val="20"/>
          <w:bdr w:val="nil"/>
        </w:rPr>
        <w:t>' dalam bahasa Inggris. Di sini, pihak yang menyewakan (lessor) disebut 'mu'ji ', penyewa (</w:t>
      </w:r>
      <w:r w:rsidR="00DE6169" w:rsidRPr="00135AFD">
        <w:rPr>
          <w:rFonts w:ascii="Bookman Old Style" w:eastAsia="Arial Unicode MS" w:hAnsi="Bookman Old Style"/>
          <w:i/>
          <w:iCs/>
          <w:sz w:val="20"/>
          <w:szCs w:val="20"/>
          <w:bdr w:val="nil"/>
        </w:rPr>
        <w:t>lessee</w:t>
      </w:r>
      <w:r w:rsidR="00DE6169" w:rsidRPr="00DE6169">
        <w:rPr>
          <w:rFonts w:ascii="Bookman Old Style" w:eastAsia="Arial Unicode MS" w:hAnsi="Bookman Old Style"/>
          <w:sz w:val="20"/>
          <w:szCs w:val="20"/>
          <w:bdr w:val="nil"/>
        </w:rPr>
        <w:t>) disebut '</w:t>
      </w:r>
      <w:r w:rsidR="00DE6169" w:rsidRPr="00135AFD">
        <w:rPr>
          <w:rFonts w:ascii="Bookman Old Style" w:eastAsia="Arial Unicode MS" w:hAnsi="Bookman Old Style"/>
          <w:i/>
          <w:iCs/>
          <w:sz w:val="20"/>
          <w:szCs w:val="20"/>
          <w:bdr w:val="nil"/>
        </w:rPr>
        <w:t>musta'jir</w:t>
      </w:r>
      <w:r w:rsidR="00DE6169" w:rsidRPr="00DE6169">
        <w:rPr>
          <w:rFonts w:ascii="Bookman Old Style" w:eastAsia="Arial Unicode MS" w:hAnsi="Bookman Old Style"/>
          <w:sz w:val="20"/>
          <w:szCs w:val="20"/>
          <w:bdr w:val="nil"/>
        </w:rPr>
        <w:t xml:space="preserve">' dan uang sewa yang harus dibayarkan kepada </w:t>
      </w:r>
      <w:r w:rsidR="00DE6169" w:rsidRPr="00135AFD">
        <w:rPr>
          <w:rFonts w:ascii="Bookman Old Style" w:eastAsia="Arial Unicode MS" w:hAnsi="Bookman Old Style"/>
          <w:i/>
          <w:iCs/>
          <w:sz w:val="20"/>
          <w:szCs w:val="20"/>
          <w:bdr w:val="nil"/>
        </w:rPr>
        <w:t>lessor</w:t>
      </w:r>
      <w:r w:rsidR="00DE6169" w:rsidRPr="00DE6169">
        <w:rPr>
          <w:rFonts w:ascii="Bookman Old Style" w:eastAsia="Arial Unicode MS" w:hAnsi="Bookman Old Style"/>
          <w:sz w:val="20"/>
          <w:szCs w:val="20"/>
          <w:bdr w:val="nil"/>
        </w:rPr>
        <w:t xml:space="preserve"> disebut '</w:t>
      </w:r>
      <w:r w:rsidR="00DE6169" w:rsidRPr="00135AFD">
        <w:rPr>
          <w:rFonts w:ascii="Bookman Old Style" w:eastAsia="Arial Unicode MS" w:hAnsi="Bookman Old Style"/>
          <w:i/>
          <w:iCs/>
          <w:sz w:val="20"/>
          <w:szCs w:val="20"/>
          <w:bdr w:val="nil"/>
        </w:rPr>
        <w:t>ujrah</w:t>
      </w:r>
      <w:r w:rsidR="00DE6169" w:rsidRPr="00DE6169">
        <w:rPr>
          <w:rFonts w:ascii="Bookman Old Style" w:eastAsia="Arial Unicode MS" w:hAnsi="Bookman Old Style"/>
          <w:sz w:val="20"/>
          <w:szCs w:val="20"/>
          <w:bdr w:val="nil"/>
        </w:rPr>
        <w:t>'.</w:t>
      </w:r>
    </w:p>
    <w:p w14:paraId="75362949" w14:textId="60EAF93F"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Zuhayli (2002) menyatakan para fuqaha sepakat bahwa sewa diperbolehkan, dengan pengecualian Abu Bakar Al Asamm, Ismail bin Ulayyah, Al-Hasan Al-Basri, Al-Qashani, Al-Nahrawani, dan Ibnu Kayyisan, yang tidak mengizinkannya. Logika kelompok yang terakhir ini: sewa adalah penjualan manfaat (</w:t>
      </w:r>
      <w:r w:rsidRPr="00135AFD">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Karena manfaat (</w:t>
      </w:r>
      <w:r w:rsidRPr="00135AFD">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tidak diterima pada saat transaksi, tetapi diterima dalam suatu periode, karenanya transaksi sewa-menyewa merupakan jual-beli suatu barang yang tidak ada, yang mana hal ini tidak diperbolehkan. Selain itu, mereka tidak bisa mengesahkan penjualan sesuatu yang prosesnya berurutan, karena barang tidak mungkin sebagai objek penjualan dari waktu ke waktu. Ibnu Rushd menentang pendapat ini dengan menyatakan bahwa walaupun manfaat (</w:t>
      </w:r>
      <w:r w:rsidRPr="00135AFD">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tidak ada pada saat transaksi, (namun) keberadaan manfaat tersebut di waktu mendatang sangat mungkin terjadi/ada. Dalam hal ini, legalitas dari sewa berasal dari hak pakai manfaat (</w:t>
      </w:r>
      <w:r w:rsidRPr="00135AFD">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yang hampir pasti ada, atau manfaat yang ada atau tidaknya seimbang.</w:t>
      </w:r>
    </w:p>
    <w:p w14:paraId="3777A3AC" w14:textId="6920CDA6" w:rsidR="00DE6169" w:rsidRPr="00DE6169" w:rsidRDefault="00DE6169" w:rsidP="003848BF">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lastRenderedPageBreak/>
        <w:t xml:space="preserve">Rahmat (2001) berpendapat menurut etimologi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adalah menjual manfaat. Ada yang menterjemahkan,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sebagai jual-beli jasa (upah-mengupah), yakni mengambil manfaat tenaga manusia, ada pula yang menterjemahkan sewa-menyewa.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didefinisikan juga dengan mengambil manfaat dari suatu barang.  Rukun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menurut jumhur ulama, terdiri dari empat, yaitu:</w:t>
      </w:r>
      <w:r w:rsidR="003848BF">
        <w:rPr>
          <w:rFonts w:ascii="Bookman Old Style" w:eastAsia="Arial Unicode MS" w:hAnsi="Bookman Old Style"/>
          <w:sz w:val="20"/>
          <w:szCs w:val="20"/>
          <w:bdr w:val="nil"/>
        </w:rPr>
        <w:t xml:space="preserve"> (1) </w:t>
      </w:r>
      <w:r w:rsidRPr="00DE6169">
        <w:rPr>
          <w:rFonts w:ascii="Bookman Old Style" w:eastAsia="Arial Unicode MS" w:hAnsi="Bookman Old Style"/>
          <w:sz w:val="20"/>
          <w:szCs w:val="20"/>
          <w:bdr w:val="nil"/>
        </w:rPr>
        <w:t>‘Aqid (orang yang berakad)</w:t>
      </w:r>
      <w:r w:rsidR="003848BF">
        <w:rPr>
          <w:rFonts w:ascii="Bookman Old Style" w:eastAsia="Arial Unicode MS" w:hAnsi="Bookman Old Style"/>
          <w:sz w:val="20"/>
          <w:szCs w:val="20"/>
          <w:bdr w:val="nil"/>
        </w:rPr>
        <w:t xml:space="preserve">, (2) </w:t>
      </w:r>
      <w:r w:rsidRPr="00DE6169">
        <w:rPr>
          <w:rFonts w:ascii="Bookman Old Style" w:eastAsia="Arial Unicode MS" w:hAnsi="Bookman Old Style"/>
          <w:sz w:val="20"/>
          <w:szCs w:val="20"/>
          <w:bdr w:val="nil"/>
        </w:rPr>
        <w:t>Shighat akad</w:t>
      </w:r>
      <w:r w:rsidR="003848BF">
        <w:rPr>
          <w:rFonts w:ascii="Bookman Old Style" w:eastAsia="Arial Unicode MS" w:hAnsi="Bookman Old Style"/>
          <w:sz w:val="20"/>
          <w:szCs w:val="20"/>
          <w:bdr w:val="nil"/>
        </w:rPr>
        <w:t xml:space="preserve">, (3) </w:t>
      </w:r>
      <w:r w:rsidRPr="00DE6169">
        <w:rPr>
          <w:rFonts w:ascii="Bookman Old Style" w:eastAsia="Arial Unicode MS" w:hAnsi="Bookman Old Style"/>
          <w:sz w:val="20"/>
          <w:szCs w:val="20"/>
          <w:bdr w:val="nil"/>
        </w:rPr>
        <w:t>Ujrah (upah)</w:t>
      </w:r>
      <w:r w:rsidR="003848BF">
        <w:rPr>
          <w:rFonts w:ascii="Bookman Old Style" w:eastAsia="Arial Unicode MS" w:hAnsi="Bookman Old Style"/>
          <w:sz w:val="20"/>
          <w:szCs w:val="20"/>
          <w:bdr w:val="nil"/>
        </w:rPr>
        <w:t xml:space="preserve">, dan (4) </w:t>
      </w:r>
      <w:r w:rsidRPr="00DE6169">
        <w:rPr>
          <w:rFonts w:ascii="Bookman Old Style" w:eastAsia="Arial Unicode MS" w:hAnsi="Bookman Old Style"/>
          <w:sz w:val="20"/>
          <w:szCs w:val="20"/>
          <w:bdr w:val="nil"/>
        </w:rPr>
        <w:t>Manfaat</w:t>
      </w:r>
      <w:r w:rsidR="003848BF">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w:t>
      </w:r>
    </w:p>
    <w:p w14:paraId="03CEC173" w14:textId="029A0B4F"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Adapun menurut (Ayub, 1999) secara harfiah,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berasal dari </w:t>
      </w:r>
      <w:r w:rsidR="00135AFD" w:rsidRPr="00135AFD">
        <w:rPr>
          <w:rFonts w:ascii="Bookman Old Style" w:eastAsia="Arial Unicode MS" w:hAnsi="Bookman Old Style"/>
          <w:i/>
          <w:iCs/>
          <w:sz w:val="20"/>
          <w:szCs w:val="20"/>
          <w:bdr w:val="nil"/>
        </w:rPr>
        <w:t>a</w:t>
      </w:r>
      <w:r w:rsidRPr="00135AFD">
        <w:rPr>
          <w:rFonts w:ascii="Bookman Old Style" w:eastAsia="Arial Unicode MS" w:hAnsi="Bookman Old Style"/>
          <w:i/>
          <w:iCs/>
          <w:sz w:val="20"/>
          <w:szCs w:val="20"/>
          <w:bdr w:val="nil"/>
        </w:rPr>
        <w:t>l-'Ajr</w:t>
      </w:r>
      <w:r w:rsidRPr="00DE6169">
        <w:rPr>
          <w:rFonts w:ascii="Bookman Old Style" w:eastAsia="Arial Unicode MS" w:hAnsi="Bookman Old Style"/>
          <w:sz w:val="20"/>
          <w:szCs w:val="20"/>
          <w:bdr w:val="nil"/>
        </w:rPr>
        <w:t xml:space="preserve"> dan berarti kompensasi, pengganti, pertimbangan, pengembalian atau nilai kontra/tebusan (</w:t>
      </w:r>
      <w:r w:rsidRPr="00135AFD">
        <w:rPr>
          <w:rFonts w:ascii="Bookman Old Style" w:eastAsia="Arial Unicode MS" w:hAnsi="Bookman Old Style"/>
          <w:i/>
          <w:iCs/>
          <w:sz w:val="20"/>
          <w:szCs w:val="20"/>
          <w:bdr w:val="nil"/>
        </w:rPr>
        <w:t>al</w:t>
      </w:r>
      <w:r w:rsidR="00135AFD" w:rsidRPr="00135AFD">
        <w:rPr>
          <w:rFonts w:ascii="Bookman Old Style" w:eastAsia="Arial Unicode MS" w:hAnsi="Bookman Old Style"/>
          <w:i/>
          <w:iCs/>
          <w:sz w:val="20"/>
          <w:szCs w:val="20"/>
          <w:bdr w:val="nil"/>
        </w:rPr>
        <w:t>-</w:t>
      </w:r>
      <w:r w:rsidRPr="00135AFD">
        <w:rPr>
          <w:rFonts w:ascii="Bookman Old Style" w:eastAsia="Arial Unicode MS" w:hAnsi="Bookman Old Style"/>
          <w:i/>
          <w:iCs/>
          <w:sz w:val="20"/>
          <w:szCs w:val="20"/>
          <w:bdr w:val="nil"/>
        </w:rPr>
        <w:t>'Iwad</w:t>
      </w:r>
      <w:r w:rsidRPr="00DE6169">
        <w:rPr>
          <w:rFonts w:ascii="Bookman Old Style" w:eastAsia="Arial Unicode MS" w:hAnsi="Bookman Old Style"/>
          <w:sz w:val="20"/>
          <w:szCs w:val="20"/>
          <w:bdr w:val="nil"/>
        </w:rPr>
        <w:t xml:space="preserve">). Sebagai kontrak (akad), ini mengacu pada pengupahan atau penyewaan aset atau komoditas untuk mendapatkan pemanfaatan atasnya. Ini juga mencakup penyewaan tenaga kerja dan kontrak kerja bagi siapa pun untuk mendapatkan imbalan (upah). Oleh karena itu, secara umum peraturan dan prinsip tenaga kerja, penyewaan, </w:t>
      </w:r>
      <w:r w:rsidR="00135AFD" w:rsidRPr="00135AFD">
        <w:rPr>
          <w:rFonts w:ascii="Bookman Old Style" w:eastAsia="Arial Unicode MS" w:hAnsi="Bookman Old Style"/>
          <w:i/>
          <w:iCs/>
          <w:sz w:val="20"/>
          <w:szCs w:val="20"/>
          <w:bdr w:val="nil"/>
        </w:rPr>
        <w:t>j</w:t>
      </w:r>
      <w:r w:rsidRPr="00135AFD">
        <w:rPr>
          <w:rFonts w:ascii="Bookman Old Style" w:eastAsia="Arial Unicode MS" w:hAnsi="Bookman Old Style"/>
          <w:i/>
          <w:iCs/>
          <w:sz w:val="20"/>
          <w:szCs w:val="20"/>
          <w:bdr w:val="nil"/>
        </w:rPr>
        <w:t>u'alah</w:t>
      </w:r>
      <w:r w:rsidRPr="00DE6169">
        <w:rPr>
          <w:rFonts w:ascii="Bookman Old Style" w:eastAsia="Arial Unicode MS" w:hAnsi="Bookman Old Style"/>
          <w:sz w:val="20"/>
          <w:szCs w:val="20"/>
          <w:bdr w:val="nil"/>
        </w:rPr>
        <w:t xml:space="preserve"> dan semua kontrak kemanfaatan barang dan jasa tercakup dalam istilah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Istilah lain yang jarang digunakan untuk kontrak atau akad demkian adalah </w:t>
      </w:r>
      <w:r w:rsidRPr="00135AFD">
        <w:rPr>
          <w:rFonts w:ascii="Bookman Old Style" w:eastAsia="Arial Unicode MS" w:hAnsi="Bookman Old Style"/>
          <w:i/>
          <w:iCs/>
          <w:sz w:val="20"/>
          <w:szCs w:val="20"/>
          <w:bdr w:val="nil"/>
        </w:rPr>
        <w:t>kira'a</w:t>
      </w:r>
      <w:r w:rsidRPr="00DE6169">
        <w:rPr>
          <w:rFonts w:ascii="Bookman Old Style" w:eastAsia="Arial Unicode MS" w:hAnsi="Bookman Old Style"/>
          <w:sz w:val="20"/>
          <w:szCs w:val="20"/>
          <w:bdr w:val="nil"/>
        </w:rPr>
        <w:t xml:space="preserve"> dan </w:t>
      </w:r>
      <w:r w:rsidR="00135AFD" w:rsidRPr="00135AFD">
        <w:rPr>
          <w:rFonts w:ascii="Bookman Old Style" w:eastAsia="Arial Unicode MS" w:hAnsi="Bookman Old Style"/>
          <w:i/>
          <w:iCs/>
          <w:sz w:val="20"/>
          <w:szCs w:val="20"/>
          <w:bdr w:val="nil"/>
        </w:rPr>
        <w:t>i</w:t>
      </w:r>
      <w:r w:rsidRPr="00135AFD">
        <w:rPr>
          <w:rFonts w:ascii="Bookman Old Style" w:eastAsia="Arial Unicode MS" w:hAnsi="Bookman Old Style"/>
          <w:i/>
          <w:iCs/>
          <w:sz w:val="20"/>
          <w:szCs w:val="20"/>
          <w:bdr w:val="nil"/>
        </w:rPr>
        <w:t>stijar</w:t>
      </w:r>
      <w:r w:rsidRPr="00DE6169">
        <w:rPr>
          <w:rFonts w:ascii="Bookman Old Style" w:eastAsia="Arial Unicode MS" w:hAnsi="Bookman Old Style"/>
          <w:sz w:val="20"/>
          <w:szCs w:val="20"/>
          <w:bdr w:val="nil"/>
        </w:rPr>
        <w:t xml:space="preserve">. Dalam hukum Islam,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adalah kontrak yang dikenal dan diusulkan untuk barang tertentu untuk jangka waktu tertentu terhadap yang ditentukan dan sah atau ganjaran bagi jasa atau keuntungan untuk manfaat yang diajukan yang akan dikeuarkan. Dengan kata lain, itu adalah transfer hak pemanfaatan untuk ganjaran yang berupa sewa dalam hal penyewaan aset atau barang dan upah dalam hal mempekerjakan orang.</w:t>
      </w:r>
    </w:p>
    <w:p w14:paraId="2DE00297" w14:textId="6129E4D8" w:rsidR="00DE6169" w:rsidRPr="00DE6169" w:rsidRDefault="004C55CF" w:rsidP="00DE6169">
      <w:pPr>
        <w:pStyle w:val="KisiSedang21"/>
        <w:spacing w:after="240" w:line="260" w:lineRule="atLeast"/>
        <w:jc w:val="both"/>
        <w:rPr>
          <w:rFonts w:ascii="Bookman Old Style" w:eastAsia="Arial Unicode MS" w:hAnsi="Bookman Old Style"/>
          <w:sz w:val="20"/>
          <w:szCs w:val="20"/>
          <w:bdr w:val="nil"/>
        </w:rPr>
      </w:pP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bermaksud memberikan sesuatu untuk disewakan. Ini adalah kontrak sewa dan penyewaan, di mana dua pihak yang terlibat, bank sebagai </w:t>
      </w:r>
      <w:r w:rsidR="00DE6169" w:rsidRPr="00135AFD">
        <w:rPr>
          <w:rFonts w:ascii="Bookman Old Style" w:eastAsia="Arial Unicode MS" w:hAnsi="Bookman Old Style"/>
          <w:i/>
          <w:iCs/>
          <w:sz w:val="20"/>
          <w:szCs w:val="20"/>
          <w:bdr w:val="nil"/>
        </w:rPr>
        <w:t>ajir</w:t>
      </w:r>
      <w:r w:rsidR="00DE6169" w:rsidRPr="00DE6169">
        <w:rPr>
          <w:rFonts w:ascii="Bookman Old Style" w:eastAsia="Arial Unicode MS" w:hAnsi="Bookman Old Style"/>
          <w:sz w:val="20"/>
          <w:szCs w:val="20"/>
          <w:bdr w:val="nil"/>
        </w:rPr>
        <w:t xml:space="preserve"> (</w:t>
      </w:r>
      <w:r w:rsidR="00DE6169" w:rsidRPr="00135AFD">
        <w:rPr>
          <w:rFonts w:ascii="Bookman Old Style" w:eastAsia="Arial Unicode MS" w:hAnsi="Bookman Old Style"/>
          <w:i/>
          <w:iCs/>
          <w:sz w:val="20"/>
          <w:szCs w:val="20"/>
          <w:bdr w:val="nil"/>
        </w:rPr>
        <w:t>lessor</w:t>
      </w:r>
      <w:r w:rsidR="00DE6169" w:rsidRPr="00DE6169">
        <w:rPr>
          <w:rFonts w:ascii="Bookman Old Style" w:eastAsia="Arial Unicode MS" w:hAnsi="Bookman Old Style"/>
          <w:sz w:val="20"/>
          <w:szCs w:val="20"/>
          <w:bdr w:val="nil"/>
        </w:rPr>
        <w:t xml:space="preserve">) dan klien sebagai </w:t>
      </w:r>
      <w:r w:rsidR="00DE6169" w:rsidRPr="00135AFD">
        <w:rPr>
          <w:rFonts w:ascii="Bookman Old Style" w:eastAsia="Arial Unicode MS" w:hAnsi="Bookman Old Style"/>
          <w:i/>
          <w:iCs/>
          <w:sz w:val="20"/>
          <w:szCs w:val="20"/>
          <w:bdr w:val="nil"/>
        </w:rPr>
        <w:t>mustajir</w:t>
      </w:r>
      <w:r w:rsidR="00DE6169" w:rsidRPr="00DE6169">
        <w:rPr>
          <w:rFonts w:ascii="Bookman Old Style" w:eastAsia="Arial Unicode MS" w:hAnsi="Bookman Old Style"/>
          <w:sz w:val="20"/>
          <w:szCs w:val="20"/>
          <w:bdr w:val="nil"/>
        </w:rPr>
        <w:t xml:space="preserve"> (</w:t>
      </w:r>
      <w:r w:rsidR="00DE6169" w:rsidRPr="00135AFD">
        <w:rPr>
          <w:rFonts w:ascii="Bookman Old Style" w:eastAsia="Arial Unicode MS" w:hAnsi="Bookman Old Style"/>
          <w:i/>
          <w:iCs/>
          <w:sz w:val="20"/>
          <w:szCs w:val="20"/>
          <w:bdr w:val="nil"/>
        </w:rPr>
        <w:t>lessee</w:t>
      </w:r>
      <w:r w:rsidR="00DE6169" w:rsidRPr="00DE6169">
        <w:rPr>
          <w:rFonts w:ascii="Bookman Old Style" w:eastAsia="Arial Unicode MS" w:hAnsi="Bookman Old Style"/>
          <w:sz w:val="20"/>
          <w:szCs w:val="20"/>
          <w:bdr w:val="nil"/>
        </w:rPr>
        <w:t xml:space="preserve">). Fitur yang penting dari sewa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adalah kepemilikan aset tetap dengan Bank (</w:t>
      </w:r>
      <w:r w:rsidR="00DE6169" w:rsidRPr="00135AFD">
        <w:rPr>
          <w:rFonts w:ascii="Bookman Old Style" w:eastAsia="Arial Unicode MS" w:hAnsi="Bookman Old Style"/>
          <w:i/>
          <w:iCs/>
          <w:sz w:val="20"/>
          <w:szCs w:val="20"/>
          <w:bdr w:val="nil"/>
        </w:rPr>
        <w:t>lessor</w:t>
      </w:r>
      <w:r w:rsidR="00DE6169" w:rsidRPr="00DE6169">
        <w:rPr>
          <w:rFonts w:ascii="Bookman Old Style" w:eastAsia="Arial Unicode MS" w:hAnsi="Bookman Old Style"/>
          <w:sz w:val="20"/>
          <w:szCs w:val="20"/>
          <w:bdr w:val="nil"/>
        </w:rPr>
        <w:t>) selama masa sewa. Klien (</w:t>
      </w:r>
      <w:r w:rsidR="00DE6169" w:rsidRPr="00135AFD">
        <w:rPr>
          <w:rFonts w:ascii="Bookman Old Style" w:eastAsia="Arial Unicode MS" w:hAnsi="Bookman Old Style"/>
          <w:i/>
          <w:iCs/>
          <w:sz w:val="20"/>
          <w:szCs w:val="20"/>
          <w:bdr w:val="nil"/>
        </w:rPr>
        <w:t>lessee</w:t>
      </w:r>
      <w:r w:rsidR="00DE6169" w:rsidRPr="00DE6169">
        <w:rPr>
          <w:rFonts w:ascii="Bookman Old Style" w:eastAsia="Arial Unicode MS" w:hAnsi="Bookman Old Style"/>
          <w:sz w:val="20"/>
          <w:szCs w:val="20"/>
          <w:bdr w:val="nil"/>
        </w:rPr>
        <w:t xml:space="preserve">) harus membayar sewa untuk kepemilikan aset. Tiga pihak juga dapat terlibat dalam kontrak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ketika aset pembelian bank dari </w:t>
      </w:r>
      <w:r w:rsidR="00DE6169" w:rsidRPr="00135AFD">
        <w:rPr>
          <w:rFonts w:ascii="Bookman Old Style" w:eastAsia="Arial Unicode MS" w:hAnsi="Bookman Old Style"/>
          <w:i/>
          <w:iCs/>
          <w:sz w:val="20"/>
          <w:szCs w:val="20"/>
          <w:bdr w:val="nil"/>
        </w:rPr>
        <w:t>supplier</w:t>
      </w:r>
      <w:r w:rsidR="00DE6169" w:rsidRPr="00DE6169">
        <w:rPr>
          <w:rFonts w:ascii="Bookman Old Style" w:eastAsia="Arial Unicode MS" w:hAnsi="Bookman Old Style"/>
          <w:sz w:val="20"/>
          <w:szCs w:val="20"/>
          <w:bdr w:val="nil"/>
        </w:rPr>
        <w:t xml:space="preserve"> (</w:t>
      </w:r>
      <w:r w:rsidR="00DE6169" w:rsidRPr="00135AFD">
        <w:rPr>
          <w:rFonts w:ascii="Bookman Old Style" w:eastAsia="Arial Unicode MS" w:hAnsi="Bookman Old Style"/>
          <w:i/>
          <w:iCs/>
          <w:sz w:val="20"/>
          <w:szCs w:val="20"/>
          <w:bdr w:val="nil"/>
        </w:rPr>
        <w:t>vendor</w:t>
      </w:r>
      <w:r w:rsidR="00DE6169" w:rsidRPr="00DE6169">
        <w:rPr>
          <w:rFonts w:ascii="Bookman Old Style" w:eastAsia="Arial Unicode MS" w:hAnsi="Bookman Old Style"/>
          <w:sz w:val="20"/>
          <w:szCs w:val="20"/>
          <w:bdr w:val="nil"/>
        </w:rPr>
        <w:t xml:space="preserve">) dan kemudian disewakan kepada klien (Jamal, 2018). </w:t>
      </w:r>
    </w:p>
    <w:p w14:paraId="7089BEB4" w14:textId="18265D8D" w:rsid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Menurut para ahli fiqih,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adalah penjualan dari manfaat (dan bukan dari 'ain atau barang fisik) dari komoditas apapun dalam pertukaran ujrah, upah atau sewa, dan meliputi rumah, toko, mengendarai atau mempekerjakan hewan, perhiasan, pakaian dan lain sebagainya. </w:t>
      </w:r>
      <w:r w:rsidR="00135AFD">
        <w:rPr>
          <w:rFonts w:ascii="Bookman Old Style" w:eastAsia="Arial Unicode MS" w:hAnsi="Bookman Old Style"/>
          <w:sz w:val="20"/>
          <w:szCs w:val="20"/>
          <w:bdr w:val="nil"/>
        </w:rPr>
        <w:t xml:space="preserve">Gambar 1 menunjukkan skema </w:t>
      </w:r>
      <w:r w:rsidR="004C55CF" w:rsidRPr="004C55CF">
        <w:rPr>
          <w:rFonts w:ascii="Bookman Old Style" w:eastAsia="Arial Unicode MS" w:hAnsi="Bookman Old Style"/>
          <w:i/>
          <w:iCs/>
          <w:sz w:val="20"/>
          <w:szCs w:val="20"/>
          <w:bdr w:val="nil"/>
        </w:rPr>
        <w:t>ijarah</w:t>
      </w:r>
      <w:r w:rsidR="00135AFD">
        <w:rPr>
          <w:rFonts w:ascii="Bookman Old Style" w:eastAsia="Arial Unicode MS" w:hAnsi="Bookman Old Style"/>
          <w:sz w:val="20"/>
          <w:szCs w:val="20"/>
          <w:bdr w:val="nil"/>
        </w:rPr>
        <w:t xml:space="preserve"> untuk </w:t>
      </w:r>
      <w:r w:rsidRPr="00DE6169">
        <w:rPr>
          <w:rFonts w:ascii="Bookman Old Style" w:eastAsia="Arial Unicode MS" w:hAnsi="Bookman Old Style"/>
          <w:sz w:val="20"/>
          <w:szCs w:val="20"/>
          <w:bdr w:val="nil"/>
        </w:rPr>
        <w:t xml:space="preserve">memperjelas dan mempermudah pemahaman tentang </w:t>
      </w:r>
      <w:r w:rsidR="004C55CF" w:rsidRPr="004C55CF">
        <w:rPr>
          <w:rFonts w:ascii="Bookman Old Style" w:eastAsia="Arial Unicode MS" w:hAnsi="Bookman Old Style"/>
          <w:i/>
          <w:iCs/>
          <w:sz w:val="20"/>
          <w:szCs w:val="20"/>
          <w:bdr w:val="nil"/>
        </w:rPr>
        <w:t>Ijarah</w:t>
      </w:r>
      <w:r w:rsidR="00B66C59">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w:t>
      </w:r>
    </w:p>
    <w:p w14:paraId="165E6BD5" w14:textId="1D0615DE" w:rsidR="00DE6169" w:rsidRDefault="00DE6169" w:rsidP="005F266F">
      <w:pPr>
        <w:pStyle w:val="KisiSedang21"/>
        <w:spacing w:after="240" w:line="260" w:lineRule="atLeast"/>
        <w:jc w:val="center"/>
        <w:rPr>
          <w:rFonts w:ascii="Bookman Old Style" w:eastAsia="Arial Unicode MS" w:hAnsi="Bookman Old Style"/>
          <w:sz w:val="20"/>
          <w:szCs w:val="20"/>
          <w:bdr w:val="nil"/>
        </w:rPr>
      </w:pPr>
      <w:r>
        <w:rPr>
          <w:noProof/>
        </w:rPr>
        <w:drawing>
          <wp:inline distT="0" distB="0" distL="0" distR="0" wp14:anchorId="0D81AF88" wp14:editId="4337ABA1">
            <wp:extent cx="2490453" cy="1555668"/>
            <wp:effectExtent l="0" t="0" r="5715" b="6985"/>
            <wp:docPr id="1" name="Picture 1" descr="C:\Users\ASUS\AppData\Local\Temp\ksohtml86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AppData\Local\Temp\ksohtml8684\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18245" cy="1573028"/>
                    </a:xfrm>
                    <a:prstGeom prst="rect">
                      <a:avLst/>
                    </a:prstGeom>
                    <a:noFill/>
                    <a:ln>
                      <a:noFill/>
                    </a:ln>
                  </pic:spPr>
                </pic:pic>
              </a:graphicData>
            </a:graphic>
          </wp:inline>
        </w:drawing>
      </w:r>
    </w:p>
    <w:p w14:paraId="4DFA5CA8" w14:textId="2B8BA158" w:rsidR="00DE6169" w:rsidRPr="00225B1A" w:rsidRDefault="00DE6169" w:rsidP="005F266F">
      <w:pPr>
        <w:pStyle w:val="KisiSedang21"/>
        <w:spacing w:after="240" w:line="260" w:lineRule="atLeast"/>
        <w:jc w:val="center"/>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Gambar 1. Skema </w:t>
      </w:r>
      <w:r w:rsidR="004C55CF" w:rsidRPr="004C55CF">
        <w:rPr>
          <w:rFonts w:ascii="Bookman Old Style" w:eastAsia="Arial Unicode MS" w:hAnsi="Bookman Old Style"/>
          <w:i/>
          <w:iCs/>
          <w:sz w:val="20"/>
          <w:szCs w:val="20"/>
          <w:bdr w:val="nil"/>
        </w:rPr>
        <w:t>Ijarah</w:t>
      </w:r>
    </w:p>
    <w:p w14:paraId="4CC7A9B3" w14:textId="3D3172BF" w:rsidR="004E4E74" w:rsidRPr="00225B1A" w:rsidRDefault="004E4E74" w:rsidP="004E4E74">
      <w:pPr>
        <w:widowControl w:val="0"/>
        <w:spacing w:after="240" w:line="260" w:lineRule="atLeast"/>
        <w:jc w:val="both"/>
        <w:rPr>
          <w:rFonts w:ascii="Bookman Old Style" w:hAnsi="Bookman Old Style"/>
          <w:b/>
          <w:sz w:val="20"/>
          <w:szCs w:val="20"/>
        </w:rPr>
      </w:pPr>
      <w:r w:rsidRPr="00225B1A">
        <w:rPr>
          <w:rFonts w:ascii="Bookman Old Style" w:hAnsi="Bookman Old Style"/>
          <w:b/>
          <w:sz w:val="20"/>
          <w:szCs w:val="20"/>
        </w:rPr>
        <w:t>METODE</w:t>
      </w:r>
    </w:p>
    <w:p w14:paraId="22C61085" w14:textId="4A990182" w:rsidR="004E4E74" w:rsidRDefault="00DE6169" w:rsidP="004E4E74">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Jenis penelitian ini adalah jenis penelitian kualitatif. Penelitian ini merupakan penelitian kualitatif dan menggunakan metode pengumpulan data yang dilakukan </w:t>
      </w:r>
      <w:r w:rsidRPr="00DE6169">
        <w:rPr>
          <w:rFonts w:ascii="Bookman Old Style" w:eastAsia="Arial Unicode MS" w:hAnsi="Bookman Old Style"/>
          <w:sz w:val="20"/>
          <w:szCs w:val="20"/>
          <w:bdr w:val="nil"/>
        </w:rPr>
        <w:lastRenderedPageBreak/>
        <w:t xml:space="preserve">dengan cara penelitian studi kepustakaan, yaitu dengan cara mempelajari, mendalami, dan mengutip teori-teori atau konsep-konsep dari sejumlah literatur (Sugiyono 2018). Sedangkan analisis data yang digunakan yaitu analisis konten (content analysis) agar diperoleh suatu pemahaman dan pemaknaan yang akurat. Analisis data dilakukan dengan mengkaji literatur-literatur yang ada dengan membandingkan satu konsep pemikiran akad dengan konsep yang lain. Pada akhir proses analisis data, penulis menyimpulkan satu yang konsep akad yang dianggap tepat bagi akad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w:t>
      </w:r>
    </w:p>
    <w:p w14:paraId="1EE8A23F" w14:textId="77777777" w:rsidR="009D34E8" w:rsidRPr="00225B1A" w:rsidRDefault="009D34E8" w:rsidP="009D34E8">
      <w:pPr>
        <w:pStyle w:val="KisiSedang21"/>
        <w:spacing w:line="260" w:lineRule="atLeast"/>
        <w:jc w:val="both"/>
        <w:rPr>
          <w:rFonts w:ascii="Bookman Old Style" w:eastAsia="Arial Unicode MS" w:hAnsi="Bookman Old Style"/>
          <w:sz w:val="20"/>
          <w:szCs w:val="20"/>
          <w:bdr w:val="nil"/>
        </w:rPr>
      </w:pPr>
    </w:p>
    <w:p w14:paraId="237485A6" w14:textId="77777777" w:rsidR="004E4E74" w:rsidRPr="00225B1A" w:rsidRDefault="004E4E74" w:rsidP="004E4E74">
      <w:pPr>
        <w:pStyle w:val="KisiSedang21"/>
        <w:spacing w:after="240" w:line="260" w:lineRule="atLeast"/>
        <w:jc w:val="both"/>
        <w:rPr>
          <w:rFonts w:ascii="Bookman Old Style" w:eastAsia="Arial Unicode MS" w:hAnsi="Bookman Old Style"/>
          <w:b/>
          <w:sz w:val="20"/>
          <w:szCs w:val="20"/>
          <w:bdr w:val="nil"/>
        </w:rPr>
      </w:pPr>
      <w:r w:rsidRPr="00225B1A">
        <w:rPr>
          <w:rFonts w:ascii="Bookman Old Style" w:eastAsia="Arial Unicode MS" w:hAnsi="Bookman Old Style"/>
          <w:b/>
          <w:sz w:val="20"/>
          <w:szCs w:val="20"/>
          <w:bdr w:val="nil"/>
        </w:rPr>
        <w:t>HASIL DAN PEMBAHASAN</w:t>
      </w:r>
    </w:p>
    <w:p w14:paraId="387F5749" w14:textId="31879DA5" w:rsidR="00DE6169" w:rsidRPr="00E26F8E" w:rsidRDefault="00DE6169" w:rsidP="009D34E8">
      <w:pPr>
        <w:pStyle w:val="KisiSedang21"/>
        <w:numPr>
          <w:ilvl w:val="0"/>
          <w:numId w:val="1"/>
        </w:numPr>
        <w:spacing w:line="260" w:lineRule="atLeast"/>
        <w:jc w:val="both"/>
        <w:rPr>
          <w:rFonts w:ascii="Bookman Old Style" w:eastAsia="Arial Unicode MS" w:hAnsi="Bookman Old Style"/>
          <w:b/>
          <w:bCs/>
          <w:sz w:val="20"/>
          <w:szCs w:val="20"/>
          <w:bdr w:val="nil"/>
        </w:rPr>
      </w:pPr>
      <w:r w:rsidRPr="00E26F8E">
        <w:rPr>
          <w:rFonts w:ascii="Bookman Old Style" w:eastAsia="Arial Unicode MS" w:hAnsi="Bookman Old Style"/>
          <w:b/>
          <w:bCs/>
          <w:sz w:val="20"/>
          <w:szCs w:val="20"/>
          <w:bdr w:val="nil"/>
        </w:rPr>
        <w:t xml:space="preserve">Perbandingan Akad Transaksi Layanan </w:t>
      </w:r>
      <w:r w:rsidR="00E26F8E" w:rsidRPr="00E26F8E">
        <w:rPr>
          <w:rFonts w:ascii="Bookman Old Style" w:eastAsia="Arial Unicode MS" w:hAnsi="Bookman Old Style"/>
          <w:b/>
          <w:bCs/>
          <w:sz w:val="20"/>
          <w:szCs w:val="20"/>
          <w:bdr w:val="nil"/>
        </w:rPr>
        <w:t>Umrah</w:t>
      </w:r>
      <w:r w:rsidRPr="00E26F8E">
        <w:rPr>
          <w:rFonts w:ascii="Bookman Old Style" w:eastAsia="Arial Unicode MS" w:hAnsi="Bookman Old Style"/>
          <w:b/>
          <w:bCs/>
          <w:sz w:val="20"/>
          <w:szCs w:val="20"/>
          <w:bdr w:val="nil"/>
        </w:rPr>
        <w:t xml:space="preserve">: al ba’i, murabahah dan </w:t>
      </w:r>
      <w:r w:rsidR="004C55CF" w:rsidRPr="004C55CF">
        <w:rPr>
          <w:rFonts w:ascii="Bookman Old Style" w:eastAsia="Arial Unicode MS" w:hAnsi="Bookman Old Style"/>
          <w:b/>
          <w:bCs/>
          <w:i/>
          <w:iCs/>
          <w:sz w:val="20"/>
          <w:szCs w:val="20"/>
          <w:bdr w:val="nil"/>
        </w:rPr>
        <w:t>ijarah</w:t>
      </w:r>
    </w:p>
    <w:p w14:paraId="44402CFD" w14:textId="31DE0CA1" w:rsidR="00DE6169" w:rsidRPr="00DE6169" w:rsidRDefault="00E26F8E" w:rsidP="005F266F">
      <w:pPr>
        <w:pStyle w:val="KisiSedang21"/>
        <w:spacing w:after="240" w:line="260" w:lineRule="atLeast"/>
        <w:jc w:val="both"/>
        <w:rPr>
          <w:rFonts w:ascii="Bookman Old Style" w:eastAsia="Arial Unicode MS" w:hAnsi="Bookman Old Style"/>
          <w:sz w:val="20"/>
          <w:szCs w:val="20"/>
          <w:bdr w:val="nil"/>
        </w:rPr>
      </w:pPr>
      <w:r>
        <w:rPr>
          <w:rFonts w:ascii="Bookman Old Style" w:eastAsia="Arial Unicode MS" w:hAnsi="Bookman Old Style"/>
          <w:sz w:val="20"/>
          <w:szCs w:val="20"/>
          <w:bdr w:val="nil"/>
        </w:rPr>
        <w:t>A</w:t>
      </w:r>
      <w:r w:rsidR="00DE6169" w:rsidRPr="00DE6169">
        <w:rPr>
          <w:rFonts w:ascii="Bookman Old Style" w:eastAsia="Arial Unicode MS" w:hAnsi="Bookman Old Style"/>
          <w:sz w:val="20"/>
          <w:szCs w:val="20"/>
          <w:bdr w:val="nil"/>
        </w:rPr>
        <w:t xml:space="preserve">kad muamalah dalam Islam cukup banyak, akan tetapi penulis mencoba untuk mengkaji tiga jenis akad yang mungkin dapat digunakan bagi transaksi layanan (jasa) penyelenggaraan </w:t>
      </w:r>
      <w:r>
        <w:rPr>
          <w:rFonts w:ascii="Bookman Old Style" w:eastAsia="Arial Unicode MS" w:hAnsi="Bookman Old Style"/>
          <w:sz w:val="20"/>
          <w:szCs w:val="20"/>
          <w:bdr w:val="nil"/>
        </w:rPr>
        <w:t>umrah</w:t>
      </w:r>
      <w:r w:rsidR="00DE6169" w:rsidRPr="00DE6169">
        <w:rPr>
          <w:rFonts w:ascii="Bookman Old Style" w:eastAsia="Arial Unicode MS" w:hAnsi="Bookman Old Style"/>
          <w:sz w:val="20"/>
          <w:szCs w:val="20"/>
          <w:bdr w:val="nil"/>
        </w:rPr>
        <w:t xml:space="preserve"> dari biro </w:t>
      </w:r>
      <w:r>
        <w:rPr>
          <w:rFonts w:ascii="Bookman Old Style" w:eastAsia="Arial Unicode MS" w:hAnsi="Bookman Old Style"/>
          <w:sz w:val="20"/>
          <w:szCs w:val="20"/>
          <w:bdr w:val="nil"/>
        </w:rPr>
        <w:t>umrah</w:t>
      </w:r>
      <w:r w:rsidR="00DE6169" w:rsidRPr="00DE6169">
        <w:rPr>
          <w:rFonts w:ascii="Bookman Old Style" w:eastAsia="Arial Unicode MS" w:hAnsi="Bookman Old Style"/>
          <w:sz w:val="20"/>
          <w:szCs w:val="20"/>
          <w:bdr w:val="nil"/>
        </w:rPr>
        <w:t xml:space="preserve"> kepada jamaah </w:t>
      </w:r>
      <w:r>
        <w:rPr>
          <w:rFonts w:ascii="Bookman Old Style" w:eastAsia="Arial Unicode MS" w:hAnsi="Bookman Old Style"/>
          <w:sz w:val="20"/>
          <w:szCs w:val="20"/>
          <w:bdr w:val="nil"/>
        </w:rPr>
        <w:t>umrah</w:t>
      </w:r>
      <w:r w:rsidR="00DE6169" w:rsidRPr="00DE6169">
        <w:rPr>
          <w:rFonts w:ascii="Bookman Old Style" w:eastAsia="Arial Unicode MS" w:hAnsi="Bookman Old Style"/>
          <w:sz w:val="20"/>
          <w:szCs w:val="20"/>
          <w:bdr w:val="nil"/>
        </w:rPr>
        <w:t xml:space="preserve"> (klien). </w:t>
      </w:r>
      <w:r w:rsidR="00B66C59">
        <w:rPr>
          <w:rFonts w:ascii="Bookman Old Style" w:eastAsia="Arial Unicode MS" w:hAnsi="Bookman Old Style"/>
          <w:sz w:val="20"/>
          <w:szCs w:val="20"/>
          <w:bdr w:val="nil"/>
        </w:rPr>
        <w:t>Tabel 1 menunjukkan ringkasan</w:t>
      </w:r>
      <w:r w:rsidR="00DE6169" w:rsidRPr="00DE6169">
        <w:rPr>
          <w:rFonts w:ascii="Bookman Old Style" w:eastAsia="Arial Unicode MS" w:hAnsi="Bookman Old Style"/>
          <w:sz w:val="20"/>
          <w:szCs w:val="20"/>
          <w:bdr w:val="nil"/>
        </w:rPr>
        <w:t xml:space="preserve"> perbedaan antara akad al ba’i, murabahah dan </w:t>
      </w:r>
      <w:r w:rsidR="004C55CF"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ditinjau dari segi </w:t>
      </w:r>
      <w:r>
        <w:rPr>
          <w:rFonts w:ascii="Bookman Old Style" w:eastAsia="Arial Unicode MS" w:hAnsi="Bookman Old Style"/>
          <w:sz w:val="20"/>
          <w:szCs w:val="20"/>
          <w:bdr w:val="nil"/>
        </w:rPr>
        <w:t>objek</w:t>
      </w:r>
      <w:r w:rsidR="00DE6169" w:rsidRPr="00DE6169">
        <w:rPr>
          <w:rFonts w:ascii="Bookman Old Style" w:eastAsia="Arial Unicode MS" w:hAnsi="Bookman Old Style"/>
          <w:sz w:val="20"/>
          <w:szCs w:val="20"/>
          <w:bdr w:val="nil"/>
        </w:rPr>
        <w:t>, jenis transaski dan imbalan</w:t>
      </w:r>
      <w:r w:rsidR="00B66C59">
        <w:rPr>
          <w:rFonts w:ascii="Bookman Old Style" w:eastAsia="Arial Unicode MS" w:hAnsi="Bookman Old Style"/>
          <w:sz w:val="20"/>
          <w:szCs w:val="20"/>
          <w:bdr w:val="nil"/>
        </w:rPr>
        <w:t>nya</w:t>
      </w:r>
      <w:r w:rsidR="00DE6169" w:rsidRPr="00DE6169">
        <w:rPr>
          <w:rFonts w:ascii="Bookman Old Style" w:eastAsia="Arial Unicode MS" w:hAnsi="Bookman Old Style"/>
          <w:sz w:val="20"/>
          <w:szCs w:val="20"/>
          <w:bdr w:val="nil"/>
        </w:rPr>
        <w:t>.</w:t>
      </w:r>
    </w:p>
    <w:p w14:paraId="5CCE5FBE" w14:textId="7E730AB6" w:rsidR="00DE6169" w:rsidRDefault="00DE6169" w:rsidP="00A650CE">
      <w:pPr>
        <w:pStyle w:val="KisiSedang21"/>
        <w:spacing w:after="240" w:line="260" w:lineRule="atLeast"/>
        <w:jc w:val="center"/>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Tabel 1. Perbandingan antara akad al ba’i, murabah, </w:t>
      </w:r>
      <w:r w:rsidR="004C55CF" w:rsidRPr="004C55CF">
        <w:rPr>
          <w:rFonts w:ascii="Bookman Old Style" w:eastAsia="Arial Unicode MS" w:hAnsi="Bookman Old Style"/>
          <w:i/>
          <w:iCs/>
          <w:sz w:val="20"/>
          <w:szCs w:val="20"/>
          <w:bdr w:val="nil"/>
        </w:rPr>
        <w:t>ijarah</w:t>
      </w:r>
    </w:p>
    <w:tbl>
      <w:tblPr>
        <w:tblW w:w="6880" w:type="dxa"/>
        <w:jc w:val="center"/>
        <w:tblLook w:val="04A0" w:firstRow="1" w:lastRow="0" w:firstColumn="1" w:lastColumn="0" w:noHBand="0" w:noVBand="1"/>
      </w:tblPr>
      <w:tblGrid>
        <w:gridCol w:w="509"/>
        <w:gridCol w:w="1360"/>
        <w:gridCol w:w="1400"/>
        <w:gridCol w:w="1560"/>
        <w:gridCol w:w="2100"/>
      </w:tblGrid>
      <w:tr w:rsidR="00A650CE" w:rsidRPr="00A650CE" w14:paraId="165B37C0" w14:textId="77777777" w:rsidTr="00A650CE">
        <w:trPr>
          <w:trHeight w:val="270"/>
          <w:jc w:val="center"/>
        </w:trPr>
        <w:tc>
          <w:tcPr>
            <w:tcW w:w="460" w:type="dxa"/>
            <w:tcBorders>
              <w:top w:val="single" w:sz="4" w:space="0" w:color="auto"/>
              <w:left w:val="nil"/>
              <w:bottom w:val="double" w:sz="6" w:space="0" w:color="auto"/>
              <w:right w:val="nil"/>
            </w:tcBorders>
            <w:shd w:val="clear" w:color="auto" w:fill="auto"/>
            <w:noWrap/>
            <w:vAlign w:val="bottom"/>
            <w:hideMark/>
          </w:tcPr>
          <w:p w14:paraId="526976A8" w14:textId="77777777" w:rsidR="00A650CE" w:rsidRPr="00A650CE" w:rsidRDefault="00A650CE" w:rsidP="00A650CE">
            <w:pPr>
              <w:spacing w:after="0" w:line="240" w:lineRule="auto"/>
              <w:jc w:val="center"/>
              <w:rPr>
                <w:rFonts w:ascii="Calibri" w:eastAsia="Times New Roman" w:hAnsi="Calibri" w:cs="Calibri"/>
                <w:b/>
                <w:bCs/>
                <w:color w:val="000000"/>
                <w:sz w:val="20"/>
                <w:szCs w:val="20"/>
                <w:lang w:val="en-ID" w:eastAsia="en-ID"/>
              </w:rPr>
            </w:pPr>
            <w:r w:rsidRPr="00A650CE">
              <w:rPr>
                <w:rFonts w:ascii="Calibri" w:eastAsia="Times New Roman" w:hAnsi="Calibri" w:cs="Calibri"/>
                <w:b/>
                <w:bCs/>
                <w:color w:val="000000"/>
                <w:sz w:val="20"/>
                <w:szCs w:val="20"/>
                <w:lang w:val="en-ID" w:eastAsia="en-ID"/>
              </w:rPr>
              <w:t>No.</w:t>
            </w:r>
          </w:p>
        </w:tc>
        <w:tc>
          <w:tcPr>
            <w:tcW w:w="1360" w:type="dxa"/>
            <w:tcBorders>
              <w:top w:val="single" w:sz="4" w:space="0" w:color="auto"/>
              <w:left w:val="nil"/>
              <w:bottom w:val="double" w:sz="6" w:space="0" w:color="auto"/>
              <w:right w:val="nil"/>
            </w:tcBorders>
            <w:shd w:val="clear" w:color="auto" w:fill="auto"/>
            <w:noWrap/>
            <w:vAlign w:val="bottom"/>
            <w:hideMark/>
          </w:tcPr>
          <w:p w14:paraId="32F9F176" w14:textId="77777777" w:rsidR="00A650CE" w:rsidRPr="00A650CE" w:rsidRDefault="00A650CE" w:rsidP="00A650CE">
            <w:pPr>
              <w:spacing w:after="0" w:line="240" w:lineRule="auto"/>
              <w:jc w:val="center"/>
              <w:rPr>
                <w:rFonts w:ascii="Calibri" w:eastAsia="Times New Roman" w:hAnsi="Calibri" w:cs="Calibri"/>
                <w:b/>
                <w:bCs/>
                <w:color w:val="000000"/>
                <w:sz w:val="20"/>
                <w:szCs w:val="20"/>
                <w:lang w:val="en-ID" w:eastAsia="en-ID"/>
              </w:rPr>
            </w:pPr>
            <w:r w:rsidRPr="00A650CE">
              <w:rPr>
                <w:rFonts w:ascii="Calibri" w:eastAsia="Times New Roman" w:hAnsi="Calibri" w:cs="Calibri"/>
                <w:b/>
                <w:bCs/>
                <w:color w:val="000000"/>
                <w:sz w:val="20"/>
                <w:szCs w:val="20"/>
                <w:lang w:val="en-ID" w:eastAsia="en-ID"/>
              </w:rPr>
              <w:t>Jenis Akad</w:t>
            </w:r>
          </w:p>
        </w:tc>
        <w:tc>
          <w:tcPr>
            <w:tcW w:w="1400" w:type="dxa"/>
            <w:tcBorders>
              <w:top w:val="single" w:sz="4" w:space="0" w:color="auto"/>
              <w:left w:val="nil"/>
              <w:bottom w:val="double" w:sz="6" w:space="0" w:color="auto"/>
              <w:right w:val="nil"/>
            </w:tcBorders>
            <w:shd w:val="clear" w:color="auto" w:fill="auto"/>
            <w:noWrap/>
            <w:vAlign w:val="bottom"/>
            <w:hideMark/>
          </w:tcPr>
          <w:p w14:paraId="39B0FAF5" w14:textId="77777777" w:rsidR="00A650CE" w:rsidRPr="00A650CE" w:rsidRDefault="00A650CE" w:rsidP="00A650CE">
            <w:pPr>
              <w:spacing w:after="0" w:line="240" w:lineRule="auto"/>
              <w:jc w:val="center"/>
              <w:rPr>
                <w:rFonts w:ascii="Calibri" w:eastAsia="Times New Roman" w:hAnsi="Calibri" w:cs="Calibri"/>
                <w:b/>
                <w:bCs/>
                <w:color w:val="000000"/>
                <w:sz w:val="20"/>
                <w:szCs w:val="20"/>
                <w:lang w:val="en-ID" w:eastAsia="en-ID"/>
              </w:rPr>
            </w:pPr>
            <w:r w:rsidRPr="00A650CE">
              <w:rPr>
                <w:rFonts w:ascii="Calibri" w:eastAsia="Times New Roman" w:hAnsi="Calibri" w:cs="Calibri"/>
                <w:b/>
                <w:bCs/>
                <w:color w:val="000000"/>
                <w:sz w:val="20"/>
                <w:szCs w:val="20"/>
                <w:lang w:val="en-ID" w:eastAsia="en-ID"/>
              </w:rPr>
              <w:t>Objek Akad</w:t>
            </w:r>
          </w:p>
        </w:tc>
        <w:tc>
          <w:tcPr>
            <w:tcW w:w="1560" w:type="dxa"/>
            <w:tcBorders>
              <w:top w:val="single" w:sz="4" w:space="0" w:color="auto"/>
              <w:left w:val="nil"/>
              <w:bottom w:val="double" w:sz="6" w:space="0" w:color="auto"/>
              <w:right w:val="nil"/>
            </w:tcBorders>
            <w:shd w:val="clear" w:color="auto" w:fill="auto"/>
            <w:noWrap/>
            <w:vAlign w:val="bottom"/>
            <w:hideMark/>
          </w:tcPr>
          <w:p w14:paraId="55986098" w14:textId="77777777" w:rsidR="00A650CE" w:rsidRPr="00A650CE" w:rsidRDefault="00A650CE" w:rsidP="00A650CE">
            <w:pPr>
              <w:spacing w:after="0" w:line="240" w:lineRule="auto"/>
              <w:jc w:val="center"/>
              <w:rPr>
                <w:rFonts w:ascii="Calibri" w:eastAsia="Times New Roman" w:hAnsi="Calibri" w:cs="Calibri"/>
                <w:b/>
                <w:bCs/>
                <w:color w:val="000000"/>
                <w:sz w:val="20"/>
                <w:szCs w:val="20"/>
                <w:lang w:val="en-ID" w:eastAsia="en-ID"/>
              </w:rPr>
            </w:pPr>
            <w:r w:rsidRPr="00A650CE">
              <w:rPr>
                <w:rFonts w:ascii="Calibri" w:eastAsia="Times New Roman" w:hAnsi="Calibri" w:cs="Calibri"/>
                <w:b/>
                <w:bCs/>
                <w:color w:val="000000"/>
                <w:sz w:val="20"/>
                <w:szCs w:val="20"/>
                <w:lang w:val="en-ID" w:eastAsia="en-ID"/>
              </w:rPr>
              <w:t>Transaksi</w:t>
            </w:r>
          </w:p>
        </w:tc>
        <w:tc>
          <w:tcPr>
            <w:tcW w:w="2100" w:type="dxa"/>
            <w:tcBorders>
              <w:top w:val="single" w:sz="4" w:space="0" w:color="auto"/>
              <w:left w:val="nil"/>
              <w:bottom w:val="double" w:sz="6" w:space="0" w:color="auto"/>
              <w:right w:val="nil"/>
            </w:tcBorders>
            <w:shd w:val="clear" w:color="auto" w:fill="auto"/>
            <w:noWrap/>
            <w:vAlign w:val="bottom"/>
            <w:hideMark/>
          </w:tcPr>
          <w:p w14:paraId="51BE8E05" w14:textId="77777777" w:rsidR="00A650CE" w:rsidRPr="00A650CE" w:rsidRDefault="00A650CE" w:rsidP="00A650CE">
            <w:pPr>
              <w:spacing w:after="0" w:line="240" w:lineRule="auto"/>
              <w:jc w:val="center"/>
              <w:rPr>
                <w:rFonts w:ascii="Calibri" w:eastAsia="Times New Roman" w:hAnsi="Calibri" w:cs="Calibri"/>
                <w:b/>
                <w:bCs/>
                <w:color w:val="000000"/>
                <w:sz w:val="20"/>
                <w:szCs w:val="20"/>
                <w:lang w:val="en-ID" w:eastAsia="en-ID"/>
              </w:rPr>
            </w:pPr>
            <w:r w:rsidRPr="00A650CE">
              <w:rPr>
                <w:rFonts w:ascii="Calibri" w:eastAsia="Times New Roman" w:hAnsi="Calibri" w:cs="Calibri"/>
                <w:b/>
                <w:bCs/>
                <w:color w:val="000000"/>
                <w:sz w:val="20"/>
                <w:szCs w:val="20"/>
                <w:lang w:val="en-ID" w:eastAsia="en-ID"/>
              </w:rPr>
              <w:t>Imbalan</w:t>
            </w:r>
          </w:p>
        </w:tc>
      </w:tr>
      <w:tr w:rsidR="00A650CE" w:rsidRPr="00A650CE" w14:paraId="007C4056" w14:textId="77777777" w:rsidTr="00A650CE">
        <w:trPr>
          <w:trHeight w:val="270"/>
          <w:jc w:val="center"/>
        </w:trPr>
        <w:tc>
          <w:tcPr>
            <w:tcW w:w="460" w:type="dxa"/>
            <w:tcBorders>
              <w:top w:val="nil"/>
              <w:left w:val="nil"/>
              <w:bottom w:val="nil"/>
              <w:right w:val="nil"/>
            </w:tcBorders>
            <w:shd w:val="clear" w:color="auto" w:fill="auto"/>
            <w:noWrap/>
            <w:vAlign w:val="bottom"/>
            <w:hideMark/>
          </w:tcPr>
          <w:p w14:paraId="447683BC" w14:textId="77777777" w:rsidR="00A650CE" w:rsidRPr="00A650CE" w:rsidRDefault="00A650CE" w:rsidP="00A650CE">
            <w:pPr>
              <w:spacing w:after="0" w:line="240" w:lineRule="auto"/>
              <w:jc w:val="center"/>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1</w:t>
            </w:r>
          </w:p>
        </w:tc>
        <w:tc>
          <w:tcPr>
            <w:tcW w:w="1360" w:type="dxa"/>
            <w:tcBorders>
              <w:top w:val="nil"/>
              <w:left w:val="nil"/>
              <w:bottom w:val="nil"/>
              <w:right w:val="nil"/>
            </w:tcBorders>
            <w:shd w:val="clear" w:color="auto" w:fill="auto"/>
            <w:noWrap/>
            <w:vAlign w:val="bottom"/>
            <w:hideMark/>
          </w:tcPr>
          <w:p w14:paraId="11A8ABFA"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al-Bai'</w:t>
            </w:r>
          </w:p>
        </w:tc>
        <w:tc>
          <w:tcPr>
            <w:tcW w:w="1400" w:type="dxa"/>
            <w:tcBorders>
              <w:top w:val="nil"/>
              <w:left w:val="nil"/>
              <w:bottom w:val="nil"/>
              <w:right w:val="nil"/>
            </w:tcBorders>
            <w:shd w:val="clear" w:color="auto" w:fill="auto"/>
            <w:noWrap/>
            <w:vAlign w:val="bottom"/>
            <w:hideMark/>
          </w:tcPr>
          <w:p w14:paraId="0EDA3FC9"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Barang</w:t>
            </w:r>
          </w:p>
        </w:tc>
        <w:tc>
          <w:tcPr>
            <w:tcW w:w="1560" w:type="dxa"/>
            <w:tcBorders>
              <w:top w:val="nil"/>
              <w:left w:val="nil"/>
              <w:bottom w:val="nil"/>
              <w:right w:val="nil"/>
            </w:tcBorders>
            <w:shd w:val="clear" w:color="auto" w:fill="auto"/>
            <w:noWrap/>
            <w:vAlign w:val="bottom"/>
            <w:hideMark/>
          </w:tcPr>
          <w:p w14:paraId="65CDAAB4"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Jual beli</w:t>
            </w:r>
          </w:p>
        </w:tc>
        <w:tc>
          <w:tcPr>
            <w:tcW w:w="2100" w:type="dxa"/>
            <w:tcBorders>
              <w:top w:val="nil"/>
              <w:left w:val="nil"/>
              <w:bottom w:val="nil"/>
              <w:right w:val="nil"/>
            </w:tcBorders>
            <w:shd w:val="clear" w:color="auto" w:fill="auto"/>
            <w:noWrap/>
            <w:vAlign w:val="bottom"/>
            <w:hideMark/>
          </w:tcPr>
          <w:p w14:paraId="1E1AAD6F"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Margin (keuntungan)</w:t>
            </w:r>
          </w:p>
        </w:tc>
      </w:tr>
      <w:tr w:rsidR="00A650CE" w:rsidRPr="00A650CE" w14:paraId="440EBD6E" w14:textId="77777777" w:rsidTr="00A650CE">
        <w:trPr>
          <w:trHeight w:val="260"/>
          <w:jc w:val="center"/>
        </w:trPr>
        <w:tc>
          <w:tcPr>
            <w:tcW w:w="460" w:type="dxa"/>
            <w:tcBorders>
              <w:top w:val="nil"/>
              <w:left w:val="nil"/>
              <w:bottom w:val="nil"/>
              <w:right w:val="nil"/>
            </w:tcBorders>
            <w:shd w:val="clear" w:color="auto" w:fill="auto"/>
            <w:noWrap/>
            <w:vAlign w:val="bottom"/>
            <w:hideMark/>
          </w:tcPr>
          <w:p w14:paraId="39BCE1E2" w14:textId="77777777" w:rsidR="00A650CE" w:rsidRPr="00A650CE" w:rsidRDefault="00A650CE" w:rsidP="00A650CE">
            <w:pPr>
              <w:spacing w:after="0" w:line="240" w:lineRule="auto"/>
              <w:jc w:val="center"/>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2</w:t>
            </w:r>
          </w:p>
        </w:tc>
        <w:tc>
          <w:tcPr>
            <w:tcW w:w="1360" w:type="dxa"/>
            <w:tcBorders>
              <w:top w:val="nil"/>
              <w:left w:val="nil"/>
              <w:bottom w:val="nil"/>
              <w:right w:val="nil"/>
            </w:tcBorders>
            <w:shd w:val="clear" w:color="auto" w:fill="auto"/>
            <w:noWrap/>
            <w:vAlign w:val="bottom"/>
            <w:hideMark/>
          </w:tcPr>
          <w:p w14:paraId="1E326F40"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Murabahah</w:t>
            </w:r>
          </w:p>
        </w:tc>
        <w:tc>
          <w:tcPr>
            <w:tcW w:w="1400" w:type="dxa"/>
            <w:tcBorders>
              <w:top w:val="nil"/>
              <w:left w:val="nil"/>
              <w:bottom w:val="nil"/>
              <w:right w:val="nil"/>
            </w:tcBorders>
            <w:shd w:val="clear" w:color="auto" w:fill="auto"/>
            <w:noWrap/>
            <w:vAlign w:val="bottom"/>
            <w:hideMark/>
          </w:tcPr>
          <w:p w14:paraId="0FE2A885"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Barang</w:t>
            </w:r>
          </w:p>
        </w:tc>
        <w:tc>
          <w:tcPr>
            <w:tcW w:w="1560" w:type="dxa"/>
            <w:tcBorders>
              <w:top w:val="nil"/>
              <w:left w:val="nil"/>
              <w:bottom w:val="nil"/>
              <w:right w:val="nil"/>
            </w:tcBorders>
            <w:shd w:val="clear" w:color="auto" w:fill="auto"/>
            <w:noWrap/>
            <w:vAlign w:val="bottom"/>
            <w:hideMark/>
          </w:tcPr>
          <w:p w14:paraId="0567A7A0"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Jual beli</w:t>
            </w:r>
          </w:p>
        </w:tc>
        <w:tc>
          <w:tcPr>
            <w:tcW w:w="2100" w:type="dxa"/>
            <w:tcBorders>
              <w:top w:val="nil"/>
              <w:left w:val="nil"/>
              <w:bottom w:val="nil"/>
              <w:right w:val="nil"/>
            </w:tcBorders>
            <w:shd w:val="clear" w:color="auto" w:fill="auto"/>
            <w:noWrap/>
            <w:vAlign w:val="bottom"/>
            <w:hideMark/>
          </w:tcPr>
          <w:p w14:paraId="7496462A"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Margin (keuntungan)</w:t>
            </w:r>
          </w:p>
        </w:tc>
      </w:tr>
      <w:tr w:rsidR="00A650CE" w:rsidRPr="00A650CE" w14:paraId="258CCD08" w14:textId="77777777" w:rsidTr="00A650CE">
        <w:trPr>
          <w:trHeight w:val="270"/>
          <w:jc w:val="center"/>
        </w:trPr>
        <w:tc>
          <w:tcPr>
            <w:tcW w:w="460" w:type="dxa"/>
            <w:tcBorders>
              <w:top w:val="nil"/>
              <w:left w:val="nil"/>
              <w:bottom w:val="single" w:sz="8" w:space="0" w:color="auto"/>
              <w:right w:val="nil"/>
            </w:tcBorders>
            <w:shd w:val="clear" w:color="auto" w:fill="auto"/>
            <w:noWrap/>
            <w:vAlign w:val="bottom"/>
            <w:hideMark/>
          </w:tcPr>
          <w:p w14:paraId="04860EB0" w14:textId="77777777" w:rsidR="00A650CE" w:rsidRPr="00A650CE" w:rsidRDefault="00A650CE" w:rsidP="00A650CE">
            <w:pPr>
              <w:spacing w:after="0" w:line="240" w:lineRule="auto"/>
              <w:jc w:val="center"/>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3</w:t>
            </w:r>
          </w:p>
        </w:tc>
        <w:tc>
          <w:tcPr>
            <w:tcW w:w="1360" w:type="dxa"/>
            <w:tcBorders>
              <w:top w:val="nil"/>
              <w:left w:val="nil"/>
              <w:bottom w:val="single" w:sz="8" w:space="0" w:color="auto"/>
              <w:right w:val="nil"/>
            </w:tcBorders>
            <w:shd w:val="clear" w:color="auto" w:fill="auto"/>
            <w:noWrap/>
            <w:vAlign w:val="bottom"/>
            <w:hideMark/>
          </w:tcPr>
          <w:p w14:paraId="25EE34BB" w14:textId="1E60944C" w:rsidR="00A650CE" w:rsidRPr="00A650CE" w:rsidRDefault="004C55CF" w:rsidP="00A650CE">
            <w:pPr>
              <w:spacing w:after="0" w:line="240" w:lineRule="auto"/>
              <w:rPr>
                <w:rFonts w:ascii="Calibri" w:eastAsia="Times New Roman" w:hAnsi="Calibri" w:cs="Calibri"/>
                <w:color w:val="000000"/>
                <w:sz w:val="20"/>
                <w:szCs w:val="20"/>
                <w:lang w:val="en-ID" w:eastAsia="en-ID"/>
              </w:rPr>
            </w:pPr>
            <w:r w:rsidRPr="004C55CF">
              <w:rPr>
                <w:rFonts w:ascii="Calibri" w:eastAsia="Times New Roman" w:hAnsi="Calibri" w:cs="Calibri"/>
                <w:i/>
                <w:iCs/>
                <w:color w:val="000000"/>
                <w:sz w:val="20"/>
                <w:szCs w:val="20"/>
                <w:lang w:val="en-ID" w:eastAsia="en-ID"/>
              </w:rPr>
              <w:t>Ijarah</w:t>
            </w:r>
          </w:p>
        </w:tc>
        <w:tc>
          <w:tcPr>
            <w:tcW w:w="1400" w:type="dxa"/>
            <w:tcBorders>
              <w:top w:val="nil"/>
              <w:left w:val="nil"/>
              <w:bottom w:val="single" w:sz="8" w:space="0" w:color="auto"/>
              <w:right w:val="nil"/>
            </w:tcBorders>
            <w:shd w:val="clear" w:color="auto" w:fill="auto"/>
            <w:noWrap/>
            <w:vAlign w:val="bottom"/>
            <w:hideMark/>
          </w:tcPr>
          <w:p w14:paraId="3E69A5A7"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Manfaat</w:t>
            </w:r>
          </w:p>
        </w:tc>
        <w:tc>
          <w:tcPr>
            <w:tcW w:w="1560" w:type="dxa"/>
            <w:tcBorders>
              <w:top w:val="nil"/>
              <w:left w:val="nil"/>
              <w:bottom w:val="single" w:sz="8" w:space="0" w:color="auto"/>
              <w:right w:val="nil"/>
            </w:tcBorders>
            <w:shd w:val="clear" w:color="auto" w:fill="auto"/>
            <w:noWrap/>
            <w:vAlign w:val="bottom"/>
            <w:hideMark/>
          </w:tcPr>
          <w:p w14:paraId="7604C896"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Sewa menyewa</w:t>
            </w:r>
          </w:p>
        </w:tc>
        <w:tc>
          <w:tcPr>
            <w:tcW w:w="2100" w:type="dxa"/>
            <w:tcBorders>
              <w:top w:val="nil"/>
              <w:left w:val="nil"/>
              <w:bottom w:val="single" w:sz="8" w:space="0" w:color="auto"/>
              <w:right w:val="nil"/>
            </w:tcBorders>
            <w:shd w:val="clear" w:color="auto" w:fill="auto"/>
            <w:noWrap/>
            <w:vAlign w:val="bottom"/>
            <w:hideMark/>
          </w:tcPr>
          <w:p w14:paraId="3090294A" w14:textId="77777777" w:rsidR="00A650CE" w:rsidRPr="00A650CE" w:rsidRDefault="00A650CE" w:rsidP="00A650CE">
            <w:pPr>
              <w:spacing w:after="0" w:line="240" w:lineRule="auto"/>
              <w:rPr>
                <w:rFonts w:ascii="Calibri" w:eastAsia="Times New Roman" w:hAnsi="Calibri" w:cs="Calibri"/>
                <w:color w:val="000000"/>
                <w:sz w:val="20"/>
                <w:szCs w:val="20"/>
                <w:lang w:val="en-ID" w:eastAsia="en-ID"/>
              </w:rPr>
            </w:pPr>
            <w:r w:rsidRPr="00A650CE">
              <w:rPr>
                <w:rFonts w:ascii="Calibri" w:eastAsia="Times New Roman" w:hAnsi="Calibri" w:cs="Calibri"/>
                <w:color w:val="000000"/>
                <w:sz w:val="20"/>
                <w:szCs w:val="20"/>
                <w:lang w:val="en-ID" w:eastAsia="en-ID"/>
              </w:rPr>
              <w:t>Upah sewa/Upah Jasa</w:t>
            </w:r>
          </w:p>
        </w:tc>
      </w:tr>
      <w:tr w:rsidR="00A650CE" w:rsidRPr="00A650CE" w14:paraId="6DCC98B1" w14:textId="77777777" w:rsidTr="00A650CE">
        <w:trPr>
          <w:trHeight w:val="260"/>
          <w:jc w:val="center"/>
        </w:trPr>
        <w:tc>
          <w:tcPr>
            <w:tcW w:w="4780" w:type="dxa"/>
            <w:gridSpan w:val="4"/>
            <w:tcBorders>
              <w:top w:val="nil"/>
              <w:left w:val="nil"/>
              <w:bottom w:val="nil"/>
              <w:right w:val="nil"/>
            </w:tcBorders>
            <w:shd w:val="clear" w:color="auto" w:fill="auto"/>
            <w:noWrap/>
            <w:vAlign w:val="bottom"/>
            <w:hideMark/>
          </w:tcPr>
          <w:p w14:paraId="25A27AE2" w14:textId="77777777" w:rsidR="00A650CE" w:rsidRPr="00A650CE" w:rsidRDefault="00A650CE" w:rsidP="00A650CE">
            <w:pPr>
              <w:spacing w:after="0" w:line="240" w:lineRule="auto"/>
              <w:rPr>
                <w:rFonts w:ascii="Calibri" w:eastAsia="Times New Roman" w:hAnsi="Calibri" w:cs="Calibri"/>
                <w:color w:val="000000"/>
                <w:sz w:val="18"/>
                <w:szCs w:val="18"/>
                <w:lang w:val="en-ID" w:eastAsia="en-ID"/>
              </w:rPr>
            </w:pPr>
            <w:r w:rsidRPr="00A650CE">
              <w:rPr>
                <w:rFonts w:ascii="Calibri" w:eastAsia="Times New Roman" w:hAnsi="Calibri" w:cs="Calibri"/>
                <w:color w:val="000000"/>
                <w:sz w:val="18"/>
                <w:szCs w:val="18"/>
                <w:lang w:val="en-ID" w:eastAsia="en-ID"/>
              </w:rPr>
              <w:t>Sumber: Taqi Usmai, Wahbah Zuhayli, Muhammad Ayub</w:t>
            </w:r>
          </w:p>
        </w:tc>
        <w:tc>
          <w:tcPr>
            <w:tcW w:w="2100" w:type="dxa"/>
            <w:tcBorders>
              <w:top w:val="nil"/>
              <w:left w:val="nil"/>
              <w:bottom w:val="nil"/>
              <w:right w:val="nil"/>
            </w:tcBorders>
            <w:shd w:val="clear" w:color="auto" w:fill="auto"/>
            <w:noWrap/>
            <w:vAlign w:val="bottom"/>
            <w:hideMark/>
          </w:tcPr>
          <w:p w14:paraId="6550F4CF" w14:textId="77777777" w:rsidR="00A650CE" w:rsidRPr="00A650CE" w:rsidRDefault="00A650CE" w:rsidP="00A650CE">
            <w:pPr>
              <w:spacing w:after="0" w:line="240" w:lineRule="auto"/>
              <w:rPr>
                <w:rFonts w:ascii="Calibri" w:eastAsia="Times New Roman" w:hAnsi="Calibri" w:cs="Calibri"/>
                <w:color w:val="000000"/>
                <w:sz w:val="18"/>
                <w:szCs w:val="18"/>
                <w:lang w:val="en-ID" w:eastAsia="en-ID"/>
              </w:rPr>
            </w:pPr>
          </w:p>
        </w:tc>
      </w:tr>
    </w:tbl>
    <w:p w14:paraId="4D1DDB8B" w14:textId="77777777" w:rsidR="00A650CE" w:rsidRDefault="00A650CE" w:rsidP="00A650CE">
      <w:pPr>
        <w:pStyle w:val="KisiSedang21"/>
        <w:spacing w:line="260" w:lineRule="atLeast"/>
        <w:jc w:val="both"/>
        <w:rPr>
          <w:rFonts w:ascii="Bookman Old Style" w:eastAsia="Arial Unicode MS" w:hAnsi="Bookman Old Style"/>
          <w:sz w:val="20"/>
          <w:szCs w:val="20"/>
          <w:bdr w:val="nil"/>
        </w:rPr>
      </w:pPr>
    </w:p>
    <w:p w14:paraId="6B68D858" w14:textId="1A863ED4"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Akad transaksi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w:t>
      </w:r>
      <w:r w:rsidR="00B66C59">
        <w:rPr>
          <w:rFonts w:ascii="Bookman Old Style" w:eastAsia="Arial Unicode MS" w:hAnsi="Bookman Old Style"/>
          <w:sz w:val="20"/>
          <w:szCs w:val="20"/>
          <w:bdr w:val="nil"/>
        </w:rPr>
        <w:t>di</w:t>
      </w:r>
      <w:r w:rsidRPr="00DE6169">
        <w:rPr>
          <w:rFonts w:ascii="Bookman Old Style" w:eastAsia="Arial Unicode MS" w:hAnsi="Bookman Old Style"/>
          <w:sz w:val="20"/>
          <w:szCs w:val="20"/>
          <w:bdr w:val="nil"/>
        </w:rPr>
        <w:t xml:space="preserve">bandingkan antara akad al ba’i, akad murabahah dan akad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w:t>
      </w:r>
    </w:p>
    <w:p w14:paraId="3AA5FB90" w14:textId="50868DDC" w:rsidR="00DE6169" w:rsidRPr="00E26F8E" w:rsidRDefault="00DE6169" w:rsidP="009D34E8">
      <w:pPr>
        <w:pStyle w:val="KisiSedang21"/>
        <w:numPr>
          <w:ilvl w:val="0"/>
          <w:numId w:val="2"/>
        </w:numPr>
        <w:spacing w:line="260" w:lineRule="atLeast"/>
        <w:jc w:val="both"/>
        <w:rPr>
          <w:rFonts w:ascii="Bookman Old Style" w:eastAsia="Arial Unicode MS" w:hAnsi="Bookman Old Style"/>
          <w:b/>
          <w:bCs/>
          <w:sz w:val="20"/>
          <w:szCs w:val="20"/>
          <w:bdr w:val="nil"/>
        </w:rPr>
      </w:pPr>
      <w:r w:rsidRPr="00E26F8E">
        <w:rPr>
          <w:rFonts w:ascii="Bookman Old Style" w:eastAsia="Arial Unicode MS" w:hAnsi="Bookman Old Style"/>
          <w:b/>
          <w:bCs/>
          <w:sz w:val="20"/>
          <w:szCs w:val="20"/>
          <w:bdr w:val="nil"/>
        </w:rPr>
        <w:t>Akad al Bai’ Untuk Transaksi Layanan Umr</w:t>
      </w:r>
      <w:r w:rsidR="00E26F8E" w:rsidRPr="00E26F8E">
        <w:rPr>
          <w:rFonts w:ascii="Bookman Old Style" w:eastAsia="Arial Unicode MS" w:hAnsi="Bookman Old Style"/>
          <w:b/>
          <w:bCs/>
          <w:sz w:val="20"/>
          <w:szCs w:val="20"/>
          <w:bdr w:val="nil"/>
        </w:rPr>
        <w:t>a</w:t>
      </w:r>
      <w:r w:rsidRPr="00E26F8E">
        <w:rPr>
          <w:rFonts w:ascii="Bookman Old Style" w:eastAsia="Arial Unicode MS" w:hAnsi="Bookman Old Style"/>
          <w:b/>
          <w:bCs/>
          <w:sz w:val="20"/>
          <w:szCs w:val="20"/>
          <w:bdr w:val="nil"/>
        </w:rPr>
        <w:t>h</w:t>
      </w:r>
    </w:p>
    <w:p w14:paraId="6AB57EF0" w14:textId="69EAF1AC" w:rsidR="00DE6169" w:rsidRPr="00DE6169" w:rsidRDefault="00DE6169" w:rsidP="00A650CE">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Kegiatan umr</w:t>
      </w:r>
      <w:r w:rsidR="00E26F8E">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h, merupakan kegiatan yang melibatkan interaksi antara jamaah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dengan penyedia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(biro umr</w:t>
      </w:r>
      <w:r w:rsidR="00E26F8E">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h). Akad transaksi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baik dari biro perjalanan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maupun dari lembaga keuangan syariah jika menggunakan akad al ba’i (jual beli) bila direnungkan lebih dalam dianggap kurang tepat. Ada </w:t>
      </w:r>
      <w:r w:rsidR="00E26F8E">
        <w:rPr>
          <w:rFonts w:ascii="Bookman Old Style" w:eastAsia="Arial Unicode MS" w:hAnsi="Bookman Old Style"/>
          <w:sz w:val="20"/>
          <w:szCs w:val="20"/>
          <w:bdr w:val="nil"/>
        </w:rPr>
        <w:t>dua</w:t>
      </w:r>
      <w:r w:rsidRPr="00DE6169">
        <w:rPr>
          <w:rFonts w:ascii="Bookman Old Style" w:eastAsia="Arial Unicode MS" w:hAnsi="Bookman Old Style"/>
          <w:sz w:val="20"/>
          <w:szCs w:val="20"/>
          <w:bdr w:val="nil"/>
        </w:rPr>
        <w:t xml:space="preserve"> pertimbangan yang memperkuat </w:t>
      </w:r>
      <w:proofErr w:type="gramStart"/>
      <w:r w:rsidRPr="00DE6169">
        <w:rPr>
          <w:rFonts w:ascii="Bookman Old Style" w:eastAsia="Arial Unicode MS" w:hAnsi="Bookman Old Style"/>
          <w:sz w:val="20"/>
          <w:szCs w:val="20"/>
          <w:bdr w:val="nil"/>
        </w:rPr>
        <w:t>pernyataan  akad</w:t>
      </w:r>
      <w:proofErr w:type="gramEnd"/>
      <w:r w:rsidRPr="00DE6169">
        <w:rPr>
          <w:rFonts w:ascii="Bookman Old Style" w:eastAsia="Arial Unicode MS" w:hAnsi="Bookman Old Style"/>
          <w:sz w:val="20"/>
          <w:szCs w:val="20"/>
          <w:bdr w:val="nil"/>
        </w:rPr>
        <w:t xml:space="preserve"> al bai’ kurang  t</w:t>
      </w:r>
      <w:r w:rsidR="00E26F8E">
        <w:rPr>
          <w:rFonts w:ascii="Bookman Old Style" w:eastAsia="Arial Unicode MS" w:hAnsi="Bookman Old Style"/>
          <w:sz w:val="20"/>
          <w:szCs w:val="20"/>
          <w:bdr w:val="nil"/>
        </w:rPr>
        <w:t>e</w:t>
      </w:r>
      <w:r w:rsidRPr="00DE6169">
        <w:rPr>
          <w:rFonts w:ascii="Bookman Old Style" w:eastAsia="Arial Unicode MS" w:hAnsi="Bookman Old Style"/>
          <w:sz w:val="20"/>
          <w:szCs w:val="20"/>
          <w:bdr w:val="nil"/>
        </w:rPr>
        <w:t>pat</w:t>
      </w:r>
      <w:r w:rsidR="00E26F8E">
        <w:rPr>
          <w:rFonts w:ascii="Bookman Old Style" w:eastAsia="Arial Unicode MS" w:hAnsi="Bookman Old Style"/>
          <w:sz w:val="20"/>
          <w:szCs w:val="20"/>
          <w:bdr w:val="nil"/>
        </w:rPr>
        <w:t>, yaitu: (1) objek akad dan (2) pelaku akad.</w:t>
      </w:r>
    </w:p>
    <w:p w14:paraId="4FD3AEC7" w14:textId="1AA9E3C9" w:rsidR="00DE6169" w:rsidRPr="00DE6169" w:rsidRDefault="00DE6169" w:rsidP="009D34E8">
      <w:pPr>
        <w:pStyle w:val="KisiSedang21"/>
        <w:spacing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1)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Akad</w:t>
      </w:r>
    </w:p>
    <w:p w14:paraId="06E4F039" w14:textId="4461A2F3"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Transaksi al bai’ (jual-beli) pada dasarnya adalah transaksi pertukaran harta dengan </w:t>
      </w:r>
      <w:proofErr w:type="gramStart"/>
      <w:r w:rsidRPr="00DE6169">
        <w:rPr>
          <w:rFonts w:ascii="Bookman Old Style" w:eastAsia="Arial Unicode MS" w:hAnsi="Bookman Old Style"/>
          <w:sz w:val="20"/>
          <w:szCs w:val="20"/>
          <w:bdr w:val="nil"/>
        </w:rPr>
        <w:t>barang  antara</w:t>
      </w:r>
      <w:proofErr w:type="gramEnd"/>
      <w:r w:rsidRPr="00DE6169">
        <w:rPr>
          <w:rFonts w:ascii="Bookman Old Style" w:eastAsia="Arial Unicode MS" w:hAnsi="Bookman Old Style"/>
          <w:sz w:val="20"/>
          <w:szCs w:val="20"/>
          <w:bdr w:val="nil"/>
        </w:rPr>
        <w:t xml:space="preserve"> pembeli dan penjual. Dengan pengertian lain bahwa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jual-beli” adalah “barang nyata atau komoditas”. Merujuk pada pada rukun jual-beli (</w:t>
      </w:r>
      <w:r w:rsidRPr="00E26F8E">
        <w:rPr>
          <w:rFonts w:ascii="Bookman Old Style" w:eastAsia="Arial Unicode MS" w:hAnsi="Bookman Old Style"/>
          <w:i/>
          <w:iCs/>
          <w:sz w:val="20"/>
          <w:szCs w:val="20"/>
          <w:bdr w:val="nil"/>
        </w:rPr>
        <w:t>al</w:t>
      </w:r>
      <w:r w:rsidR="00E26F8E" w:rsidRPr="00E26F8E">
        <w:rPr>
          <w:rFonts w:ascii="Bookman Old Style" w:eastAsia="Arial Unicode MS" w:hAnsi="Bookman Old Style"/>
          <w:i/>
          <w:iCs/>
          <w:sz w:val="20"/>
          <w:szCs w:val="20"/>
          <w:bdr w:val="nil"/>
        </w:rPr>
        <w:t>-</w:t>
      </w:r>
      <w:r w:rsidRPr="00E26F8E">
        <w:rPr>
          <w:rFonts w:ascii="Bookman Old Style" w:eastAsia="Arial Unicode MS" w:hAnsi="Bookman Old Style"/>
          <w:i/>
          <w:iCs/>
          <w:sz w:val="20"/>
          <w:szCs w:val="20"/>
          <w:bdr w:val="nil"/>
        </w:rPr>
        <w:t>bai’</w:t>
      </w:r>
      <w:r w:rsidRPr="00DE6169">
        <w:rPr>
          <w:rFonts w:ascii="Bookman Old Style" w:eastAsia="Arial Unicode MS" w:hAnsi="Bookman Old Style"/>
          <w:sz w:val="20"/>
          <w:szCs w:val="20"/>
          <w:bdr w:val="nil"/>
        </w:rPr>
        <w:t xml:space="preserve">) bahwa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dalam jual beli (</w:t>
      </w:r>
      <w:r w:rsidRPr="00E26F8E">
        <w:rPr>
          <w:rFonts w:ascii="Bookman Old Style" w:eastAsia="Arial Unicode MS" w:hAnsi="Bookman Old Style"/>
          <w:i/>
          <w:iCs/>
          <w:sz w:val="20"/>
          <w:szCs w:val="20"/>
          <w:bdr w:val="nil"/>
        </w:rPr>
        <w:t>al</w:t>
      </w:r>
      <w:r w:rsidR="00E26F8E" w:rsidRPr="00E26F8E">
        <w:rPr>
          <w:rFonts w:ascii="Bookman Old Style" w:eastAsia="Arial Unicode MS" w:hAnsi="Bookman Old Style"/>
          <w:i/>
          <w:iCs/>
          <w:sz w:val="20"/>
          <w:szCs w:val="20"/>
          <w:bdr w:val="nil"/>
        </w:rPr>
        <w:t>-</w:t>
      </w:r>
      <w:r w:rsidRPr="00E26F8E">
        <w:rPr>
          <w:rFonts w:ascii="Bookman Old Style" w:eastAsia="Arial Unicode MS" w:hAnsi="Bookman Old Style"/>
          <w:i/>
          <w:iCs/>
          <w:sz w:val="20"/>
          <w:szCs w:val="20"/>
          <w:bdr w:val="nil"/>
        </w:rPr>
        <w:t>bai</w:t>
      </w:r>
      <w:r w:rsidR="00E26F8E">
        <w:rPr>
          <w:rFonts w:ascii="Bookman Old Style" w:eastAsia="Arial Unicode MS" w:hAnsi="Bookman Old Style"/>
          <w:i/>
          <w:iCs/>
          <w:sz w:val="20"/>
          <w:szCs w:val="20"/>
          <w:bdr w:val="nil"/>
        </w:rPr>
        <w:t>’</w:t>
      </w:r>
      <w:r w:rsidRPr="00DE6169">
        <w:rPr>
          <w:rFonts w:ascii="Bookman Old Style" w:eastAsia="Arial Unicode MS" w:hAnsi="Bookman Old Style"/>
          <w:sz w:val="20"/>
          <w:szCs w:val="20"/>
          <w:bdr w:val="nil"/>
        </w:rPr>
        <w:t xml:space="preserve">) adalah barang atau komoditas. Rukun </w:t>
      </w:r>
      <w:r w:rsidRPr="00E26F8E">
        <w:rPr>
          <w:rFonts w:ascii="Bookman Old Style" w:eastAsia="Arial Unicode MS" w:hAnsi="Bookman Old Style"/>
          <w:i/>
          <w:iCs/>
          <w:sz w:val="20"/>
          <w:szCs w:val="20"/>
          <w:bdr w:val="nil"/>
        </w:rPr>
        <w:t>al-bai’</w:t>
      </w:r>
      <w:r w:rsidRPr="00DE6169">
        <w:rPr>
          <w:rFonts w:ascii="Bookman Old Style" w:eastAsia="Arial Unicode MS" w:hAnsi="Bookman Old Style"/>
          <w:sz w:val="20"/>
          <w:szCs w:val="20"/>
          <w:bdr w:val="nil"/>
        </w:rPr>
        <w:t xml:space="preserve"> itu sendiri menjelaskan pihak penjual harus memiliki komoditas atau barang yang dijadikan objek jual beli</w:t>
      </w:r>
      <w:r w:rsidR="00E26F8E">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Sabiq </w:t>
      </w:r>
      <w:r w:rsidR="00E26F8E">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1992) memberi pengertian bahwa jual beli ialah pertukaran harta dengan harta atas dasar saling merelakan atau memindahkan milik dengan ganti yang dapat dibenarkan. Adapun jasa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bukan merupakan komoditas atau barang, Penggunaan akad </w:t>
      </w:r>
      <w:r w:rsidRPr="00E26F8E">
        <w:rPr>
          <w:rFonts w:ascii="Bookman Old Style" w:eastAsia="Arial Unicode MS" w:hAnsi="Bookman Old Style"/>
          <w:i/>
          <w:iCs/>
          <w:sz w:val="20"/>
          <w:szCs w:val="20"/>
          <w:bdr w:val="nil"/>
        </w:rPr>
        <w:t>al</w:t>
      </w:r>
      <w:r w:rsidR="00E26F8E" w:rsidRPr="00E26F8E">
        <w:rPr>
          <w:rFonts w:ascii="Bookman Old Style" w:eastAsia="Arial Unicode MS" w:hAnsi="Bookman Old Style"/>
          <w:i/>
          <w:iCs/>
          <w:sz w:val="20"/>
          <w:szCs w:val="20"/>
          <w:bdr w:val="nil"/>
        </w:rPr>
        <w:t>-</w:t>
      </w:r>
      <w:r w:rsidRPr="00E26F8E">
        <w:rPr>
          <w:rFonts w:ascii="Bookman Old Style" w:eastAsia="Arial Unicode MS" w:hAnsi="Bookman Old Style"/>
          <w:i/>
          <w:iCs/>
          <w:sz w:val="20"/>
          <w:szCs w:val="20"/>
          <w:bdr w:val="nil"/>
        </w:rPr>
        <w:t>bai’</w:t>
      </w:r>
      <w:r w:rsidRPr="00DE6169">
        <w:rPr>
          <w:rFonts w:ascii="Bookman Old Style" w:eastAsia="Arial Unicode MS" w:hAnsi="Bookman Old Style"/>
          <w:sz w:val="20"/>
          <w:szCs w:val="20"/>
          <w:bdr w:val="nil"/>
        </w:rPr>
        <w:t xml:space="preserve"> (jual beli) dalam transaksi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tampak tidak sesuai dengan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akad dalam jual beli. Sesuatu yang tidak berupa barang atau harta atau yang dihukumi tidak sah untuk diperjualbelikan (Zuhayli, 2002).</w:t>
      </w:r>
    </w:p>
    <w:p w14:paraId="17E06BB7" w14:textId="77777777" w:rsidR="00DE6169" w:rsidRPr="00DE6169" w:rsidRDefault="00DE6169" w:rsidP="009D34E8">
      <w:pPr>
        <w:pStyle w:val="KisiSedang21"/>
        <w:spacing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lastRenderedPageBreak/>
        <w:t>2) Pelaku Akad</w:t>
      </w:r>
    </w:p>
    <w:p w14:paraId="1790F704" w14:textId="33F9C4EB"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Penjual adalah pemilik atau wakil pemilik komoditas yang menjadi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transaksi. Bahwa dalam jual-beli dipersyaratkan juga harus tersedianya komoditas saat transaksi jual-beli dilaksanakan. Perjalanan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pada umumnya,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nya tersebar dan proses penciptaan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berjalan atau berlangsung sepanjang perjalanan dan baru akan dilakukan di waktu mendatang, dan tidak mungkin tersedia secara fisik pada saat transaksi dilakukan. Manfaat baru bisa dirasakan pada saat proses kegiatan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berlangsung (Lubis, 2020).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perjalanan umrah meliputi: penerbangan pergi-pulang, pelayanan akomodasi di tanah air dan di tanah suci, pelayanan konsumsi, pelayanan transportasi, pelayanan di tanah suci, perlindungan, pelayanan di keberangkatan dan kedatangan, pelayanan keimigrasian, premi asuransi dan pelindungan lainnya, dokumen perjalanan, pembinaan dan bimbingan jemaah di tanah air dan di tanah suci, dan kesehatan jika diperlukan. Jika dianalogkan dengan penjual, maka dalam layanan ibadah umrah baik Lembaga Keuangan Syariah ataupun biro perjalanan umrah bukanlah pemilik atau wakil pemilik seperti layanan transportasi, penginapan, dan lain sebagainya. </w:t>
      </w:r>
    </w:p>
    <w:p w14:paraId="2F611C63" w14:textId="0F2F43A7"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Pembeli dalam transaksi jual beli bisa pembeli dalam pengertian pihak pengguna barang secara langsung ataupun wakil dari pembeli yang sebenarnya (</w:t>
      </w:r>
      <w:r w:rsidRPr="00E26F8E">
        <w:rPr>
          <w:rFonts w:ascii="Bookman Old Style" w:eastAsia="Arial Unicode MS" w:hAnsi="Bookman Old Style"/>
          <w:i/>
          <w:iCs/>
          <w:sz w:val="20"/>
          <w:szCs w:val="20"/>
          <w:bdr w:val="nil"/>
        </w:rPr>
        <w:t>end user</w:t>
      </w:r>
      <w:r w:rsidRPr="00DE6169">
        <w:rPr>
          <w:rFonts w:ascii="Bookman Old Style" w:eastAsia="Arial Unicode MS" w:hAnsi="Bookman Old Style"/>
          <w:sz w:val="20"/>
          <w:szCs w:val="20"/>
          <w:bdr w:val="nil"/>
        </w:rPr>
        <w:t>) yang pada dasarnya begitu transaksi ju</w:t>
      </w:r>
      <w:r w:rsidR="00E26F8E">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l-beli (barang) usai, pembeli langsung menerima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jual-beli. Sementara dalam transaksi layanan ibadah umrah, khusunya end user tidak akan menerima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transaksi pada saat itu juga, tetapi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tersebut akan diterima di waktu yang akan datang secara berantai.</w:t>
      </w:r>
    </w:p>
    <w:p w14:paraId="558768E4" w14:textId="7081C9CB" w:rsidR="00DE6169" w:rsidRPr="00E26F8E" w:rsidRDefault="00DE6169" w:rsidP="009D34E8">
      <w:pPr>
        <w:pStyle w:val="KisiSedang21"/>
        <w:numPr>
          <w:ilvl w:val="0"/>
          <w:numId w:val="2"/>
        </w:numPr>
        <w:spacing w:line="260" w:lineRule="atLeast"/>
        <w:jc w:val="both"/>
        <w:rPr>
          <w:rFonts w:ascii="Bookman Old Style" w:eastAsia="Arial Unicode MS" w:hAnsi="Bookman Old Style"/>
          <w:b/>
          <w:bCs/>
          <w:sz w:val="20"/>
          <w:szCs w:val="20"/>
          <w:bdr w:val="nil"/>
        </w:rPr>
      </w:pPr>
      <w:r w:rsidRPr="00E26F8E">
        <w:rPr>
          <w:rFonts w:ascii="Bookman Old Style" w:eastAsia="Arial Unicode MS" w:hAnsi="Bookman Old Style"/>
          <w:b/>
          <w:bCs/>
          <w:sz w:val="20"/>
          <w:szCs w:val="20"/>
          <w:bdr w:val="nil"/>
        </w:rPr>
        <w:t xml:space="preserve">Akad Murabahah Untuk Transaksi Layanan </w:t>
      </w:r>
      <w:r w:rsidR="00E26F8E" w:rsidRPr="00E26F8E">
        <w:rPr>
          <w:rFonts w:ascii="Bookman Old Style" w:eastAsia="Arial Unicode MS" w:hAnsi="Bookman Old Style"/>
          <w:b/>
          <w:bCs/>
          <w:sz w:val="20"/>
          <w:szCs w:val="20"/>
          <w:bdr w:val="nil"/>
        </w:rPr>
        <w:t>Umrah</w:t>
      </w:r>
    </w:p>
    <w:p w14:paraId="46CFDA9B" w14:textId="5F06C956"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Adanya beberapa Lembaga Keuangan Syariah yang menawarkan pembiayaan pelaksanaan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dengan akad Murabahah, di mana Lembaga Keuangan Syariah atau biro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menawarkan fasilitas pelayanan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dengan pembiayaan berupa dana pinjaman. Akad murabahah bagi suatu penawaran harga layanan, tidak sesuai dengan syariah. </w:t>
      </w:r>
      <w:proofErr w:type="gramStart"/>
      <w:r w:rsidRPr="00DE6169">
        <w:rPr>
          <w:rFonts w:ascii="Bookman Old Style" w:eastAsia="Arial Unicode MS" w:hAnsi="Bookman Old Style"/>
          <w:sz w:val="20"/>
          <w:szCs w:val="20"/>
          <w:bdr w:val="nil"/>
        </w:rPr>
        <w:t>Akad  transaksi</w:t>
      </w:r>
      <w:proofErr w:type="gramEnd"/>
      <w:r w:rsidRPr="00DE6169">
        <w:rPr>
          <w:rFonts w:ascii="Bookman Old Style" w:eastAsia="Arial Unicode MS" w:hAnsi="Bookman Old Style"/>
          <w:sz w:val="20"/>
          <w:szCs w:val="20"/>
          <w:bdr w:val="nil"/>
        </w:rPr>
        <w:t xml:space="preserve"> Murabahah menurut para ulama fiqih, pada dasarnya adalah jual-beli (atas dasar kepercayaan, yang mana secara syara’ penjual wajib menyampaikan secara jujur harga pokok atau biaya  barang yang menjadi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jual-beli). Murabahah adalah transaksi penjualan barang dengan menyatakan harga perolehan dan keuntungan (margin) yang disepakati antara penjual dan pembeli, penjual secara jelas memberi tahu kepada pembeli berapa harga pokok barang tersebut dan berapa besar keuntungan yang diinginkannya (Antonio, 2011). Bai</w:t>
      </w:r>
      <w:r w:rsidRPr="00DE6169">
        <w:rPr>
          <w:rFonts w:ascii="Times New Roman" w:eastAsia="Arial Unicode MS" w:hAnsi="Times New Roman"/>
          <w:sz w:val="20"/>
          <w:szCs w:val="20"/>
          <w:bdr w:val="nil"/>
        </w:rPr>
        <w:t>‟</w:t>
      </w:r>
      <w:r w:rsidRPr="00DE6169">
        <w:rPr>
          <w:rFonts w:ascii="Bookman Old Style" w:eastAsia="Arial Unicode MS" w:hAnsi="Bookman Old Style"/>
          <w:sz w:val="20"/>
          <w:szCs w:val="20"/>
          <w:bdr w:val="nil"/>
        </w:rPr>
        <w:t xml:space="preserve"> al-mur</w:t>
      </w:r>
      <w:r w:rsidRPr="00DE6169">
        <w:rPr>
          <w:rFonts w:ascii="Bookman Old Style" w:eastAsia="Arial Unicode MS" w:hAnsi="Bookman Old Style" w:cs="Bookman Old Style"/>
          <w:sz w:val="20"/>
          <w:szCs w:val="20"/>
          <w:bdr w:val="nil"/>
        </w:rPr>
        <w:t>â</w:t>
      </w:r>
      <w:r w:rsidRPr="00DE6169">
        <w:rPr>
          <w:rFonts w:ascii="Bookman Old Style" w:eastAsia="Arial Unicode MS" w:hAnsi="Bookman Old Style"/>
          <w:sz w:val="20"/>
          <w:szCs w:val="20"/>
          <w:bdr w:val="nil"/>
        </w:rPr>
        <w:t xml:space="preserve">bahah termasuk jual-beli yang dibolehkan, yaitu jual-beli barang dengan harga yang pasti (harga pokok plus margin keuntungan) yang harus dibayar oleh pembeli (Nurhayati, 2017). </w:t>
      </w:r>
    </w:p>
    <w:p w14:paraId="2F0235BD" w14:textId="019591B4" w:rsid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Sebagaimana lazimnya jual-beli, murabahah sebagai salah satu jenis jual-beli mensyaratkan tersedianya barang sebgai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jual-beli pada saat jual-beli dilaksanakan. Sedangkan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yang </w:t>
      </w:r>
      <w:proofErr w:type="gramStart"/>
      <w:r w:rsidRPr="00DE6169">
        <w:rPr>
          <w:rFonts w:ascii="Bookman Old Style" w:eastAsia="Arial Unicode MS" w:hAnsi="Bookman Old Style"/>
          <w:sz w:val="20"/>
          <w:szCs w:val="20"/>
          <w:bdr w:val="nil"/>
        </w:rPr>
        <w:t>ditawarkan  Lembaga</w:t>
      </w:r>
      <w:proofErr w:type="gramEnd"/>
      <w:r w:rsidRPr="00DE6169">
        <w:rPr>
          <w:rFonts w:ascii="Bookman Old Style" w:eastAsia="Arial Unicode MS" w:hAnsi="Bookman Old Style"/>
          <w:sz w:val="20"/>
          <w:szCs w:val="20"/>
          <w:bdr w:val="nil"/>
        </w:rPr>
        <w:t xml:space="preserve"> Keuangan Syariah adalah serangkaian layanan kepada para calon jamaah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Dalam rangkaian layanan perjalanan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penyelenggara juga memberikan barang seperti alat perlengkapan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tetapi ini adalah dari bagian layanan secara keseluruhan, dan (barang demikian bukan merupakan </w:t>
      </w:r>
      <w:r w:rsidR="00E26F8E">
        <w:rPr>
          <w:rFonts w:ascii="Bookman Old Style" w:eastAsia="Arial Unicode MS" w:hAnsi="Bookman Old Style"/>
          <w:sz w:val="20"/>
          <w:szCs w:val="20"/>
          <w:bdr w:val="nil"/>
        </w:rPr>
        <w:t>objek</w:t>
      </w:r>
      <w:r w:rsidRPr="00DE6169">
        <w:rPr>
          <w:rFonts w:ascii="Bookman Old Style" w:eastAsia="Arial Unicode MS" w:hAnsi="Bookman Old Style"/>
          <w:sz w:val="20"/>
          <w:szCs w:val="20"/>
          <w:bdr w:val="nil"/>
        </w:rPr>
        <w:t xml:space="preserve"> transaksi pokok. Dengan demikian, akad murabahah bagi layanan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yang ditawarkan Lembaga Keuangan Syariah kepada calon jamaah (nasabah) bukanlah akad yang tepat. </w:t>
      </w:r>
    </w:p>
    <w:p w14:paraId="5BD28C92" w14:textId="77777777" w:rsidR="009D34E8" w:rsidRPr="00DE6169" w:rsidRDefault="009D34E8" w:rsidP="00DE6169">
      <w:pPr>
        <w:pStyle w:val="KisiSedang21"/>
        <w:spacing w:after="240" w:line="260" w:lineRule="atLeast"/>
        <w:jc w:val="both"/>
        <w:rPr>
          <w:rFonts w:ascii="Bookman Old Style" w:eastAsia="Arial Unicode MS" w:hAnsi="Bookman Old Style"/>
          <w:sz w:val="20"/>
          <w:szCs w:val="20"/>
          <w:bdr w:val="nil"/>
        </w:rPr>
      </w:pPr>
    </w:p>
    <w:p w14:paraId="2A8518A8" w14:textId="481E1899" w:rsidR="00DE6169" w:rsidRPr="00E26F8E" w:rsidRDefault="00DE6169" w:rsidP="009D34E8">
      <w:pPr>
        <w:pStyle w:val="KisiSedang21"/>
        <w:numPr>
          <w:ilvl w:val="0"/>
          <w:numId w:val="1"/>
        </w:numPr>
        <w:spacing w:line="260" w:lineRule="atLeast"/>
        <w:jc w:val="both"/>
        <w:rPr>
          <w:rFonts w:ascii="Bookman Old Style" w:eastAsia="Arial Unicode MS" w:hAnsi="Bookman Old Style"/>
          <w:b/>
          <w:bCs/>
          <w:sz w:val="20"/>
          <w:szCs w:val="20"/>
          <w:bdr w:val="nil"/>
        </w:rPr>
      </w:pPr>
      <w:r w:rsidRPr="00E26F8E">
        <w:rPr>
          <w:rFonts w:ascii="Bookman Old Style" w:eastAsia="Arial Unicode MS" w:hAnsi="Bookman Old Style"/>
          <w:b/>
          <w:bCs/>
          <w:sz w:val="20"/>
          <w:szCs w:val="20"/>
          <w:bdr w:val="nil"/>
        </w:rPr>
        <w:lastRenderedPageBreak/>
        <w:t xml:space="preserve">Akad </w:t>
      </w:r>
      <w:r w:rsidR="004C55CF" w:rsidRPr="004C55CF">
        <w:rPr>
          <w:rFonts w:ascii="Bookman Old Style" w:eastAsia="Arial Unicode MS" w:hAnsi="Bookman Old Style"/>
          <w:b/>
          <w:bCs/>
          <w:i/>
          <w:iCs/>
          <w:sz w:val="20"/>
          <w:szCs w:val="20"/>
          <w:bdr w:val="nil"/>
        </w:rPr>
        <w:t>Ijarah</w:t>
      </w:r>
      <w:r w:rsidRPr="00E26F8E">
        <w:rPr>
          <w:rFonts w:ascii="Bookman Old Style" w:eastAsia="Arial Unicode MS" w:hAnsi="Bookman Old Style"/>
          <w:b/>
          <w:bCs/>
          <w:sz w:val="20"/>
          <w:szCs w:val="20"/>
          <w:bdr w:val="nil"/>
        </w:rPr>
        <w:t xml:space="preserve"> Untuk Transaksi Layanan </w:t>
      </w:r>
      <w:r w:rsidR="00E26F8E" w:rsidRPr="00E26F8E">
        <w:rPr>
          <w:rFonts w:ascii="Bookman Old Style" w:eastAsia="Arial Unicode MS" w:hAnsi="Bookman Old Style"/>
          <w:b/>
          <w:bCs/>
          <w:sz w:val="20"/>
          <w:szCs w:val="20"/>
          <w:bdr w:val="nil"/>
        </w:rPr>
        <w:t>Umrah</w:t>
      </w:r>
    </w:p>
    <w:p w14:paraId="4FE0E8B0" w14:textId="044A3791" w:rsidR="00DE6169" w:rsidRPr="00DE6169" w:rsidRDefault="00DE6169" w:rsidP="004C55CF">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Usmani (1998) dan A. Zuhayli (2002) menegaskan pada intinya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adalah </w:t>
      </w:r>
      <w:r w:rsidRPr="00E26F8E">
        <w:rPr>
          <w:rFonts w:ascii="Bookman Old Style" w:eastAsia="Arial Unicode MS" w:hAnsi="Bookman Old Style"/>
          <w:i/>
          <w:iCs/>
          <w:sz w:val="20"/>
          <w:szCs w:val="20"/>
          <w:bdr w:val="nil"/>
        </w:rPr>
        <w:t>transfer of usufruct</w:t>
      </w:r>
      <w:r w:rsidRPr="00DE6169">
        <w:rPr>
          <w:rFonts w:ascii="Bookman Old Style" w:eastAsia="Arial Unicode MS" w:hAnsi="Bookman Old Style"/>
          <w:sz w:val="20"/>
          <w:szCs w:val="20"/>
          <w:bdr w:val="nil"/>
        </w:rPr>
        <w:t xml:space="preserve"> atau pengalihan manfaat. Manfaat itu dapat berupa manfaat barang atau dapat berupa hak pakai dan juga manfaat orang kalau dapat disebut jasa, antara lain:</w:t>
      </w:r>
      <w:r w:rsidR="00E26F8E">
        <w:rPr>
          <w:rFonts w:ascii="Bookman Old Style" w:eastAsia="Arial Unicode MS" w:hAnsi="Bookman Old Style"/>
          <w:sz w:val="20"/>
          <w:szCs w:val="20"/>
          <w:bdr w:val="nil"/>
        </w:rPr>
        <w:t xml:space="preserve"> (1) p</w:t>
      </w:r>
      <w:r w:rsidRPr="00DE6169">
        <w:rPr>
          <w:rFonts w:ascii="Bookman Old Style" w:eastAsia="Arial Unicode MS" w:hAnsi="Bookman Old Style"/>
          <w:sz w:val="20"/>
          <w:szCs w:val="20"/>
          <w:bdr w:val="nil"/>
        </w:rPr>
        <w:t>enggunaan transportasi dalam umrah, pembelian  tiket pada dasarnya adalah membeli hak pakai atas bis, kereta api, kapal laut, dan pesawat udara sebagai alat transportasi untuk berpindah tempat dari yang satu ke yang lain, dari kota satu ke kota lain</w:t>
      </w:r>
      <w:r w:rsidR="00E26F8E">
        <w:rPr>
          <w:rFonts w:ascii="Bookman Old Style" w:eastAsia="Arial Unicode MS" w:hAnsi="Bookman Old Style"/>
          <w:sz w:val="20"/>
          <w:szCs w:val="20"/>
          <w:bdr w:val="nil"/>
        </w:rPr>
        <w:t>; (2) s</w:t>
      </w:r>
      <w:r w:rsidRPr="00DE6169">
        <w:rPr>
          <w:rFonts w:ascii="Bookman Old Style" w:eastAsia="Arial Unicode MS" w:hAnsi="Bookman Old Style"/>
          <w:sz w:val="20"/>
          <w:szCs w:val="20"/>
          <w:bdr w:val="nil"/>
        </w:rPr>
        <w:t xml:space="preserve">arana ibadah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lainnya adalah hotel</w:t>
      </w:r>
      <w:r w:rsidR="00E26F8E">
        <w:rPr>
          <w:rFonts w:ascii="Bookman Old Style" w:eastAsia="Arial Unicode MS" w:hAnsi="Bookman Old Style"/>
          <w:sz w:val="20"/>
          <w:szCs w:val="20"/>
          <w:bdr w:val="nil"/>
        </w:rPr>
        <w:t xml:space="preserve">, berupa </w:t>
      </w:r>
      <w:r w:rsidRPr="00DE6169">
        <w:rPr>
          <w:rFonts w:ascii="Bookman Old Style" w:eastAsia="Arial Unicode MS" w:hAnsi="Bookman Old Style"/>
          <w:sz w:val="20"/>
          <w:szCs w:val="20"/>
          <w:bdr w:val="nil"/>
        </w:rPr>
        <w:t>hak pakai tempat penginapan dengan layanan lengkap (makan, minum, istirahat, dan sebagainya)</w:t>
      </w:r>
      <w:r w:rsidR="004C55CF">
        <w:rPr>
          <w:rFonts w:ascii="Bookman Old Style" w:eastAsia="Arial Unicode MS" w:hAnsi="Bookman Old Style"/>
          <w:sz w:val="20"/>
          <w:szCs w:val="20"/>
          <w:bdr w:val="nil"/>
        </w:rPr>
        <w:t xml:space="preserve">; dan (3) </w:t>
      </w:r>
      <w:r w:rsidRPr="00DE6169">
        <w:rPr>
          <w:rFonts w:ascii="Bookman Old Style" w:eastAsia="Arial Unicode MS" w:hAnsi="Bookman Old Style"/>
          <w:sz w:val="20"/>
          <w:szCs w:val="20"/>
          <w:bdr w:val="nil"/>
        </w:rPr>
        <w:t xml:space="preserve">pengurusan visa ataupun paspor serta penyediaan perlengkapan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manasik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Terkait masalah ini, transaksinya yang tepat adalah pembelian jasa dengan kompensasi upah atau honor atau sejenisnya.</w:t>
      </w:r>
    </w:p>
    <w:p w14:paraId="024B82C1" w14:textId="40E03933"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Usmani (1998) menegaskan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adalah istilah fikih Islam secara leksikal itu berarti untuk memberikan sesuatu </w:t>
      </w:r>
      <w:proofErr w:type="gramStart"/>
      <w:r w:rsidRPr="00DE6169">
        <w:rPr>
          <w:rFonts w:ascii="Bookman Old Style" w:eastAsia="Arial Unicode MS" w:hAnsi="Bookman Old Style"/>
          <w:sz w:val="20"/>
          <w:szCs w:val="20"/>
          <w:bdr w:val="nil"/>
        </w:rPr>
        <w:t>untuk  disewa</w:t>
      </w:r>
      <w:proofErr w:type="gramEnd"/>
      <w:r w:rsidRPr="00DE6169">
        <w:rPr>
          <w:rFonts w:ascii="Bookman Old Style" w:eastAsia="Arial Unicode MS" w:hAnsi="Bookman Old Style"/>
          <w:sz w:val="20"/>
          <w:szCs w:val="20"/>
          <w:bdr w:val="nil"/>
        </w:rPr>
        <w:t xml:space="preserve">.  Dalam yurisprudensi Islam, istilah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digunakan untuk dua situasi yang berbeda. Pada kondisi pertama,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w:t>
      </w:r>
      <w:proofErr w:type="gramStart"/>
      <w:r w:rsidRPr="00DE6169">
        <w:rPr>
          <w:rFonts w:ascii="Bookman Old Style" w:eastAsia="Arial Unicode MS" w:hAnsi="Bookman Old Style"/>
          <w:sz w:val="20"/>
          <w:szCs w:val="20"/>
          <w:bdr w:val="nil"/>
        </w:rPr>
        <w:t>berarti  untuk</w:t>
      </w:r>
      <w:proofErr w:type="gramEnd"/>
      <w:r w:rsidRPr="00DE6169">
        <w:rPr>
          <w:rFonts w:ascii="Bookman Old Style" w:eastAsia="Arial Unicode MS" w:hAnsi="Bookman Old Style"/>
          <w:sz w:val="20"/>
          <w:szCs w:val="20"/>
          <w:bdr w:val="nil"/>
        </w:rPr>
        <w:t xml:space="preserve"> mempekerjakan layanan dari seseorang dengan upah yang diberikan kepadanya sebagai pertimbangan untuk layanan pengupahnya. Majikan disebut </w:t>
      </w:r>
      <w:r w:rsidRPr="004C55CF">
        <w:rPr>
          <w:rFonts w:ascii="Bookman Old Style" w:eastAsia="Arial Unicode MS" w:hAnsi="Bookman Old Style"/>
          <w:i/>
          <w:iCs/>
          <w:sz w:val="20"/>
          <w:szCs w:val="20"/>
          <w:bdr w:val="nil"/>
        </w:rPr>
        <w:t>musta'jir</w:t>
      </w:r>
      <w:r w:rsidRPr="00DE6169">
        <w:rPr>
          <w:rFonts w:ascii="Bookman Old Style" w:eastAsia="Arial Unicode MS" w:hAnsi="Bookman Old Style"/>
          <w:sz w:val="20"/>
          <w:szCs w:val="20"/>
          <w:bdr w:val="nil"/>
        </w:rPr>
        <w:t xml:space="preserve"> sementara karyawan disebut </w:t>
      </w:r>
      <w:r w:rsidRPr="004C55CF">
        <w:rPr>
          <w:rFonts w:ascii="Bookman Old Style" w:eastAsia="Arial Unicode MS" w:hAnsi="Bookman Old Style"/>
          <w:i/>
          <w:iCs/>
          <w:sz w:val="20"/>
          <w:szCs w:val="20"/>
          <w:bdr w:val="nil"/>
        </w:rPr>
        <w:t>ajir</w:t>
      </w:r>
      <w:r w:rsidRPr="00DE6169">
        <w:rPr>
          <w:rFonts w:ascii="Bookman Old Style" w:eastAsia="Arial Unicode MS" w:hAnsi="Bookman Old Style"/>
          <w:sz w:val="20"/>
          <w:szCs w:val="20"/>
          <w:bdr w:val="nil"/>
        </w:rPr>
        <w:t>. Pada kondisi kedua</w:t>
      </w:r>
      <w:r w:rsidR="004C55CF">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 </w:t>
      </w:r>
      <w:r w:rsidR="004C55CF">
        <w:rPr>
          <w:rFonts w:ascii="Bookman Old Style" w:eastAsia="Arial Unicode MS" w:hAnsi="Bookman Old Style"/>
          <w:i/>
          <w:iCs/>
          <w:sz w:val="20"/>
          <w:szCs w:val="20"/>
          <w:bdr w:val="nil"/>
        </w:rPr>
        <w:t>i</w:t>
      </w:r>
      <w:r w:rsidR="004C55CF" w:rsidRPr="004C55CF">
        <w:rPr>
          <w:rFonts w:ascii="Bookman Old Style" w:eastAsia="Arial Unicode MS" w:hAnsi="Bookman Old Style"/>
          <w:i/>
          <w:iCs/>
          <w:sz w:val="20"/>
          <w:szCs w:val="20"/>
          <w:bdr w:val="nil"/>
        </w:rPr>
        <w:t>jarah</w:t>
      </w:r>
      <w:r w:rsidRPr="00DE6169">
        <w:rPr>
          <w:rFonts w:ascii="Bookman Old Style" w:eastAsia="Arial Unicode MS" w:hAnsi="Bookman Old Style"/>
          <w:sz w:val="20"/>
          <w:szCs w:val="20"/>
          <w:bdr w:val="nil"/>
        </w:rPr>
        <w:t xml:space="preserve"> berkaitan dengan manfaat barang dan properti, dan bukan pada jasa manusia. </w:t>
      </w:r>
    </w:p>
    <w:p w14:paraId="797141F3" w14:textId="77777777" w:rsidR="004C55CF" w:rsidRDefault="004C55CF" w:rsidP="00DE6169">
      <w:pPr>
        <w:pStyle w:val="KisiSedang21"/>
        <w:spacing w:after="240" w:line="260" w:lineRule="atLeast"/>
        <w:jc w:val="both"/>
        <w:rPr>
          <w:rFonts w:ascii="Bookman Old Style" w:eastAsia="Arial Unicode MS" w:hAnsi="Bookman Old Style"/>
          <w:sz w:val="20"/>
          <w:szCs w:val="20"/>
          <w:bdr w:val="nil"/>
        </w:rPr>
      </w:pP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dalam pengertian ini berarti untuk memindahkan manfaat dari harta tertentu kepada orang lain dengan imbalan sewa yang ditagihkan kepadanya.  Dalam hal ini, istilah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bersifat analog dengan istilah </w:t>
      </w:r>
      <w:r w:rsidRPr="004C55CF">
        <w:rPr>
          <w:rFonts w:ascii="Bookman Old Style" w:eastAsia="Arial Unicode MS" w:hAnsi="Bookman Old Style"/>
          <w:i/>
          <w:iCs/>
          <w:sz w:val="20"/>
          <w:szCs w:val="20"/>
          <w:bdr w:val="nil"/>
        </w:rPr>
        <w:t>leasing</w:t>
      </w:r>
      <w:r w:rsidR="00DE6169" w:rsidRPr="00DE6169">
        <w:rPr>
          <w:rFonts w:ascii="Bookman Old Style" w:eastAsia="Arial Unicode MS" w:hAnsi="Bookman Old Style"/>
          <w:sz w:val="20"/>
          <w:szCs w:val="20"/>
          <w:bdr w:val="nil"/>
        </w:rPr>
        <w:t xml:space="preserve"> dalam bahasa Inggris. Di sini, </w:t>
      </w:r>
      <w:r w:rsidR="00DE6169" w:rsidRPr="004C55CF">
        <w:rPr>
          <w:rFonts w:ascii="Bookman Old Style" w:eastAsia="Arial Unicode MS" w:hAnsi="Bookman Old Style"/>
          <w:i/>
          <w:iCs/>
          <w:sz w:val="20"/>
          <w:szCs w:val="20"/>
          <w:bdr w:val="nil"/>
        </w:rPr>
        <w:t>lessor</w:t>
      </w:r>
      <w:r w:rsidR="00DE6169" w:rsidRPr="00DE6169">
        <w:rPr>
          <w:rFonts w:ascii="Bookman Old Style" w:eastAsia="Arial Unicode MS" w:hAnsi="Bookman Old Style"/>
          <w:sz w:val="20"/>
          <w:szCs w:val="20"/>
          <w:bdr w:val="nil"/>
        </w:rPr>
        <w:t xml:space="preserve"> disebut </w:t>
      </w:r>
      <w:r w:rsidR="00DE6169" w:rsidRPr="004C55CF">
        <w:rPr>
          <w:rFonts w:ascii="Bookman Old Style" w:eastAsia="Arial Unicode MS" w:hAnsi="Bookman Old Style"/>
          <w:i/>
          <w:iCs/>
          <w:sz w:val="20"/>
          <w:szCs w:val="20"/>
          <w:bdr w:val="nil"/>
        </w:rPr>
        <w:t>mu'jir</w:t>
      </w:r>
      <w:r w:rsidR="00DE6169" w:rsidRPr="00DE6169">
        <w:rPr>
          <w:rFonts w:ascii="Bookman Old Style" w:eastAsia="Arial Unicode MS" w:hAnsi="Bookman Old Style"/>
          <w:sz w:val="20"/>
          <w:szCs w:val="20"/>
          <w:bdr w:val="nil"/>
        </w:rPr>
        <w:t xml:space="preserve">, penyewa disebut </w:t>
      </w:r>
      <w:r w:rsidR="00DE6169" w:rsidRPr="004C55CF">
        <w:rPr>
          <w:rFonts w:ascii="Bookman Old Style" w:eastAsia="Arial Unicode MS" w:hAnsi="Bookman Old Style"/>
          <w:i/>
          <w:iCs/>
          <w:sz w:val="20"/>
          <w:szCs w:val="20"/>
          <w:bdr w:val="nil"/>
        </w:rPr>
        <w:t>musta'jir</w:t>
      </w:r>
      <w:r w:rsidR="00DE6169" w:rsidRPr="00DE6169">
        <w:rPr>
          <w:rFonts w:ascii="Bookman Old Style" w:eastAsia="Arial Unicode MS" w:hAnsi="Bookman Old Style"/>
          <w:sz w:val="20"/>
          <w:szCs w:val="20"/>
          <w:bdr w:val="nil"/>
        </w:rPr>
        <w:t xml:space="preserve"> dan uang sewa yang harus dibayarkan kepada </w:t>
      </w:r>
      <w:r w:rsidR="00DE6169" w:rsidRPr="004C55CF">
        <w:rPr>
          <w:rFonts w:ascii="Bookman Old Style" w:eastAsia="Arial Unicode MS" w:hAnsi="Bookman Old Style"/>
          <w:i/>
          <w:iCs/>
          <w:sz w:val="20"/>
          <w:szCs w:val="20"/>
          <w:bdr w:val="nil"/>
        </w:rPr>
        <w:t>lessor</w:t>
      </w:r>
      <w:r w:rsidR="00DE6169" w:rsidRPr="00DE6169">
        <w:rPr>
          <w:rFonts w:ascii="Bookman Old Style" w:eastAsia="Arial Unicode MS" w:hAnsi="Bookman Old Style"/>
          <w:sz w:val="20"/>
          <w:szCs w:val="20"/>
          <w:bdr w:val="nil"/>
        </w:rPr>
        <w:t xml:space="preserve"> disebut </w:t>
      </w:r>
      <w:r w:rsidR="00DE6169" w:rsidRPr="004C55CF">
        <w:rPr>
          <w:rFonts w:ascii="Bookman Old Style" w:eastAsia="Arial Unicode MS" w:hAnsi="Bookman Old Style"/>
          <w:i/>
          <w:iCs/>
          <w:sz w:val="20"/>
          <w:szCs w:val="20"/>
          <w:bdr w:val="nil"/>
        </w:rPr>
        <w:t>'ujrah'</w:t>
      </w:r>
      <w:r w:rsidR="00DE6169" w:rsidRPr="00DE6169">
        <w:rPr>
          <w:rFonts w:ascii="Bookman Old Style" w:eastAsia="Arial Unicode MS" w:hAnsi="Bookman Old Style"/>
          <w:sz w:val="20"/>
          <w:szCs w:val="20"/>
          <w:bdr w:val="nil"/>
        </w:rPr>
        <w:t xml:space="preserve">. </w:t>
      </w:r>
    </w:p>
    <w:p w14:paraId="25E3DF49" w14:textId="00A10BE9"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Zuhayli (2002) menyatakan para fuqaha sepakat bahwa sewa diperbolehkan, dengan pengecualian Abu Bakar </w:t>
      </w:r>
      <w:r w:rsidR="004C55CF">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l</w:t>
      </w:r>
      <w:r w:rsidR="004C55CF">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Asamm, Ismail bin Ulayyah, </w:t>
      </w:r>
      <w:r w:rsidR="004C55CF">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l-Hasan </w:t>
      </w:r>
      <w:r w:rsidR="004C55CF">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l-Basri, </w:t>
      </w:r>
      <w:r w:rsidR="004C55CF">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 xml:space="preserve">l-Qashani, </w:t>
      </w:r>
      <w:r w:rsidR="004C55CF">
        <w:rPr>
          <w:rFonts w:ascii="Bookman Old Style" w:eastAsia="Arial Unicode MS" w:hAnsi="Bookman Old Style"/>
          <w:sz w:val="20"/>
          <w:szCs w:val="20"/>
          <w:bdr w:val="nil"/>
        </w:rPr>
        <w:t>a</w:t>
      </w:r>
      <w:r w:rsidRPr="00DE6169">
        <w:rPr>
          <w:rFonts w:ascii="Bookman Old Style" w:eastAsia="Arial Unicode MS" w:hAnsi="Bookman Old Style"/>
          <w:sz w:val="20"/>
          <w:szCs w:val="20"/>
          <w:bdr w:val="nil"/>
        </w:rPr>
        <w:t>l-Nahrawani, dan Ibnu Kayyisan, yang tidak mengizinkannya. Logika kelompok yang terakhir ini: sewa adalah penjualan manfaat (</w:t>
      </w:r>
      <w:r w:rsidRPr="004C55CF">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Karena manfaat (</w:t>
      </w:r>
      <w:r w:rsidRPr="004C55CF">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tidak diterima pada saat transaksi, tetapi diterima dalam suatu periode, karenanya transaksi sewa-menyewa merupakan jual-beli suatu barang yang tidak ada, yang mana hal ini tidak diperbolehkan. Selain itu, mereka tidak bisa mengesahkan penjualan sesuatu yang prosesnya berurutan, karena barang tidak mungkin sebagai objek penjualan dari waktu ke waktu. Ibnu Rushd menentang pendapat ini dengan menyatakan bahwa walaupun manfaat (</w:t>
      </w:r>
      <w:r w:rsidRPr="004C55CF">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tidak ada pada saat transaksi, (namun) keberadaan manfaat tersebut di waktu mendatang sangat mungkin terjadi/ada. Dalam hal ini, legalitas dari sewa berasal dari hak pakai manfaat (</w:t>
      </w:r>
      <w:r w:rsidRPr="004C55CF">
        <w:rPr>
          <w:rFonts w:ascii="Bookman Old Style" w:eastAsia="Arial Unicode MS" w:hAnsi="Bookman Old Style"/>
          <w:i/>
          <w:iCs/>
          <w:sz w:val="20"/>
          <w:szCs w:val="20"/>
          <w:bdr w:val="nil"/>
        </w:rPr>
        <w:t>usufruct</w:t>
      </w:r>
      <w:r w:rsidRPr="00DE6169">
        <w:rPr>
          <w:rFonts w:ascii="Bookman Old Style" w:eastAsia="Arial Unicode MS" w:hAnsi="Bookman Old Style"/>
          <w:sz w:val="20"/>
          <w:szCs w:val="20"/>
          <w:bdr w:val="nil"/>
        </w:rPr>
        <w:t>) yang hampir pasti ada, atau manfaat yang ada atau tidaknya seimbang.</w:t>
      </w:r>
    </w:p>
    <w:p w14:paraId="31F9BDB4" w14:textId="4B549C2D"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Adapun menurut Ayub (2007) secara harfiah,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berasal dari </w:t>
      </w:r>
      <w:r w:rsidR="004C55CF" w:rsidRPr="004C55CF">
        <w:rPr>
          <w:rFonts w:ascii="Bookman Old Style" w:eastAsia="Arial Unicode MS" w:hAnsi="Bookman Old Style"/>
          <w:i/>
          <w:iCs/>
          <w:sz w:val="20"/>
          <w:szCs w:val="20"/>
          <w:bdr w:val="nil"/>
        </w:rPr>
        <w:t>a</w:t>
      </w:r>
      <w:r w:rsidRPr="004C55CF">
        <w:rPr>
          <w:rFonts w:ascii="Bookman Old Style" w:eastAsia="Arial Unicode MS" w:hAnsi="Bookman Old Style"/>
          <w:i/>
          <w:iCs/>
          <w:sz w:val="20"/>
          <w:szCs w:val="20"/>
          <w:bdr w:val="nil"/>
        </w:rPr>
        <w:t>l-'Ajr</w:t>
      </w:r>
      <w:r w:rsidRPr="00DE6169">
        <w:rPr>
          <w:rFonts w:ascii="Bookman Old Style" w:eastAsia="Arial Unicode MS" w:hAnsi="Bookman Old Style"/>
          <w:sz w:val="20"/>
          <w:szCs w:val="20"/>
          <w:bdr w:val="nil"/>
        </w:rPr>
        <w:t xml:space="preserve"> dan berarti kompensasi, pengganti, pertimbangan, pengembalian atau nilai kontra/ tebusan (</w:t>
      </w:r>
      <w:r w:rsidRPr="004C55CF">
        <w:rPr>
          <w:rFonts w:ascii="Bookman Old Style" w:eastAsia="Arial Unicode MS" w:hAnsi="Bookman Old Style"/>
          <w:i/>
          <w:iCs/>
          <w:sz w:val="20"/>
          <w:szCs w:val="20"/>
          <w:bdr w:val="nil"/>
        </w:rPr>
        <w:t>al</w:t>
      </w:r>
      <w:r w:rsidR="004C55CF" w:rsidRPr="004C55CF">
        <w:rPr>
          <w:rFonts w:ascii="Bookman Old Style" w:eastAsia="Arial Unicode MS" w:hAnsi="Bookman Old Style"/>
          <w:i/>
          <w:iCs/>
          <w:sz w:val="20"/>
          <w:szCs w:val="20"/>
          <w:bdr w:val="nil"/>
        </w:rPr>
        <w:t>-</w:t>
      </w:r>
      <w:r w:rsidRPr="004C55CF">
        <w:rPr>
          <w:rFonts w:ascii="Bookman Old Style" w:eastAsia="Arial Unicode MS" w:hAnsi="Bookman Old Style"/>
          <w:i/>
          <w:iCs/>
          <w:sz w:val="20"/>
          <w:szCs w:val="20"/>
          <w:bdr w:val="nil"/>
        </w:rPr>
        <w:t>'iwad</w:t>
      </w:r>
      <w:r w:rsidRPr="00DE6169">
        <w:rPr>
          <w:rFonts w:ascii="Bookman Old Style" w:eastAsia="Arial Unicode MS" w:hAnsi="Bookman Old Style"/>
          <w:sz w:val="20"/>
          <w:szCs w:val="20"/>
          <w:bdr w:val="nil"/>
        </w:rPr>
        <w:t xml:space="preserve">). Sebagai kontrak (akad), ini mengacu pada pengupahan atau penyewaan aset/komoditas untuk mendapatkan pemanfaatan atasnya. Ini juga mencakup penyewaan tenaga kerja dan kontrak kerja bagi siapa pun untuk mendapatkan imbalan (upah). Oleh karena itu, secara umum peraturan dan prinsip tenaga kerja, penyewaan, </w:t>
      </w:r>
      <w:r w:rsidR="004C55CF" w:rsidRPr="004C55CF">
        <w:rPr>
          <w:rFonts w:ascii="Bookman Old Style" w:eastAsia="Arial Unicode MS" w:hAnsi="Bookman Old Style"/>
          <w:i/>
          <w:iCs/>
          <w:sz w:val="20"/>
          <w:szCs w:val="20"/>
          <w:bdr w:val="nil"/>
        </w:rPr>
        <w:t>j</w:t>
      </w:r>
      <w:r w:rsidRPr="004C55CF">
        <w:rPr>
          <w:rFonts w:ascii="Bookman Old Style" w:eastAsia="Arial Unicode MS" w:hAnsi="Bookman Old Style"/>
          <w:i/>
          <w:iCs/>
          <w:sz w:val="20"/>
          <w:szCs w:val="20"/>
          <w:bdr w:val="nil"/>
        </w:rPr>
        <w:t>u'alah</w:t>
      </w:r>
      <w:r w:rsidRPr="00DE6169">
        <w:rPr>
          <w:rFonts w:ascii="Bookman Old Style" w:eastAsia="Arial Unicode MS" w:hAnsi="Bookman Old Style"/>
          <w:sz w:val="20"/>
          <w:szCs w:val="20"/>
          <w:bdr w:val="nil"/>
        </w:rPr>
        <w:t xml:space="preserve"> dan semua kontrak kemanfaatan barang dan jasa tercakup dalam istilah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Istilah lain yang jarang digunakan untuk kontrak/akad demkian adalah </w:t>
      </w:r>
      <w:r w:rsidRPr="004C55CF">
        <w:rPr>
          <w:rFonts w:ascii="Bookman Old Style" w:eastAsia="Arial Unicode MS" w:hAnsi="Bookman Old Style"/>
          <w:i/>
          <w:iCs/>
          <w:sz w:val="20"/>
          <w:szCs w:val="20"/>
          <w:bdr w:val="nil"/>
        </w:rPr>
        <w:t>kira'a</w:t>
      </w:r>
      <w:r w:rsidRPr="00DE6169">
        <w:rPr>
          <w:rFonts w:ascii="Bookman Old Style" w:eastAsia="Arial Unicode MS" w:hAnsi="Bookman Old Style"/>
          <w:sz w:val="20"/>
          <w:szCs w:val="20"/>
          <w:bdr w:val="nil"/>
        </w:rPr>
        <w:t xml:space="preserve"> dan </w:t>
      </w:r>
      <w:r w:rsidR="004C55CF" w:rsidRPr="004C55CF">
        <w:rPr>
          <w:rFonts w:ascii="Bookman Old Style" w:eastAsia="Arial Unicode MS" w:hAnsi="Bookman Old Style"/>
          <w:i/>
          <w:iCs/>
          <w:sz w:val="20"/>
          <w:szCs w:val="20"/>
          <w:bdr w:val="nil"/>
        </w:rPr>
        <w:t>i</w:t>
      </w:r>
      <w:r w:rsidRPr="004C55CF">
        <w:rPr>
          <w:rFonts w:ascii="Bookman Old Style" w:eastAsia="Arial Unicode MS" w:hAnsi="Bookman Old Style"/>
          <w:i/>
          <w:iCs/>
          <w:sz w:val="20"/>
          <w:szCs w:val="20"/>
          <w:bdr w:val="nil"/>
        </w:rPr>
        <w:t>stijar</w:t>
      </w:r>
      <w:r w:rsidRPr="00DE6169">
        <w:rPr>
          <w:rFonts w:ascii="Bookman Old Style" w:eastAsia="Arial Unicode MS" w:hAnsi="Bookman Old Style"/>
          <w:sz w:val="20"/>
          <w:szCs w:val="20"/>
          <w:bdr w:val="nil"/>
        </w:rPr>
        <w:t xml:space="preserve">.  Dengan kata lain, itu adalah transfer hak pemanfaatan </w:t>
      </w:r>
      <w:r w:rsidRPr="00DE6169">
        <w:rPr>
          <w:rFonts w:ascii="Bookman Old Style" w:eastAsia="Arial Unicode MS" w:hAnsi="Bookman Old Style"/>
          <w:sz w:val="20"/>
          <w:szCs w:val="20"/>
          <w:bdr w:val="nil"/>
        </w:rPr>
        <w:lastRenderedPageBreak/>
        <w:t>untuk ganjaran yang berupa sewa dalam hal penyewaan aset atau barang dan upah dalam hal mempekerjakan orang.</w:t>
      </w:r>
    </w:p>
    <w:p w14:paraId="54EF6620" w14:textId="325B03FC" w:rsidR="00DE6169" w:rsidRPr="00DE6169" w:rsidRDefault="00DE6169" w:rsidP="00DE6169">
      <w:pPr>
        <w:pStyle w:val="KisiSedang21"/>
        <w:spacing w:after="240" w:line="260" w:lineRule="atLeast"/>
        <w:jc w:val="both"/>
        <w:rPr>
          <w:rFonts w:ascii="Bookman Old Style" w:eastAsia="Arial Unicode MS" w:hAnsi="Bookman Old Style"/>
          <w:sz w:val="20"/>
          <w:szCs w:val="20"/>
          <w:bdr w:val="nil"/>
        </w:rPr>
      </w:pPr>
      <w:r w:rsidRPr="00DE6169">
        <w:rPr>
          <w:rFonts w:ascii="Bookman Old Style" w:eastAsia="Arial Unicode MS" w:hAnsi="Bookman Old Style"/>
          <w:sz w:val="20"/>
          <w:szCs w:val="20"/>
          <w:bdr w:val="nil"/>
        </w:rPr>
        <w:t xml:space="preserve">Menurut Lubis </w:t>
      </w:r>
      <w:r w:rsidR="004C55CF">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2020) dalam penelitiannya akad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ini tepat digunakan untuk produk pembiayaan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sebab objek dari pembiayaan (perjalanan </w:t>
      </w:r>
      <w:r w:rsidR="00E26F8E">
        <w:rPr>
          <w:rFonts w:ascii="Bookman Old Style" w:eastAsia="Arial Unicode MS" w:hAnsi="Bookman Old Style"/>
          <w:sz w:val="20"/>
          <w:szCs w:val="20"/>
          <w:bdr w:val="nil"/>
        </w:rPr>
        <w:t>umrah</w:t>
      </w:r>
      <w:r w:rsidRPr="00DE6169">
        <w:rPr>
          <w:rFonts w:ascii="Bookman Old Style" w:eastAsia="Arial Unicode MS" w:hAnsi="Bookman Old Style"/>
          <w:sz w:val="20"/>
          <w:szCs w:val="20"/>
          <w:bdr w:val="nil"/>
        </w:rPr>
        <w:t xml:space="preserve">) termasuk </w:t>
      </w:r>
      <w:r w:rsidRPr="004C55CF">
        <w:rPr>
          <w:rFonts w:ascii="Bookman Old Style" w:eastAsia="Arial Unicode MS" w:hAnsi="Bookman Old Style"/>
          <w:i/>
          <w:iCs/>
          <w:sz w:val="20"/>
          <w:szCs w:val="20"/>
          <w:bdr w:val="nil"/>
        </w:rPr>
        <w:t>intangible asset</w:t>
      </w:r>
      <w:r w:rsidRPr="00DE6169">
        <w:rPr>
          <w:rFonts w:ascii="Bookman Old Style" w:eastAsia="Arial Unicode MS" w:hAnsi="Bookman Old Style"/>
          <w:sz w:val="20"/>
          <w:szCs w:val="20"/>
          <w:bdr w:val="nil"/>
        </w:rPr>
        <w:t xml:space="preserve"> (aset tidak berwujud namun manfaatnya bisa digunakan atau dirasakan). Sesuai dengan esensi dari Akad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itu sendiri, yaitu </w:t>
      </w:r>
      <w:r w:rsidR="004C55CF" w:rsidRPr="004C55CF">
        <w:rPr>
          <w:rFonts w:ascii="Bookman Old Style" w:eastAsia="Arial Unicode MS" w:hAnsi="Bookman Old Style"/>
          <w:i/>
          <w:iCs/>
          <w:sz w:val="20"/>
          <w:szCs w:val="20"/>
          <w:bdr w:val="nil"/>
        </w:rPr>
        <w:t>b</w:t>
      </w:r>
      <w:r w:rsidRPr="004C55CF">
        <w:rPr>
          <w:rFonts w:ascii="Bookman Old Style" w:eastAsia="Arial Unicode MS" w:hAnsi="Bookman Old Style"/>
          <w:i/>
          <w:iCs/>
          <w:sz w:val="20"/>
          <w:szCs w:val="20"/>
          <w:bdr w:val="nil"/>
        </w:rPr>
        <w:t xml:space="preserve">a'i </w:t>
      </w:r>
      <w:r w:rsidR="004C55CF" w:rsidRPr="004C55CF">
        <w:rPr>
          <w:rFonts w:ascii="Bookman Old Style" w:eastAsia="Arial Unicode MS" w:hAnsi="Bookman Old Style"/>
          <w:i/>
          <w:iCs/>
          <w:sz w:val="20"/>
          <w:szCs w:val="20"/>
          <w:bdr w:val="nil"/>
        </w:rPr>
        <w:t>a</w:t>
      </w:r>
      <w:r w:rsidRPr="004C55CF">
        <w:rPr>
          <w:rFonts w:ascii="Bookman Old Style" w:eastAsia="Arial Unicode MS" w:hAnsi="Bookman Old Style"/>
          <w:i/>
          <w:iCs/>
          <w:sz w:val="20"/>
          <w:szCs w:val="20"/>
          <w:bdr w:val="nil"/>
        </w:rPr>
        <w:t>l</w:t>
      </w:r>
      <w:r w:rsidR="004C55CF" w:rsidRPr="004C55CF">
        <w:rPr>
          <w:rFonts w:ascii="Bookman Old Style" w:eastAsia="Arial Unicode MS" w:hAnsi="Bookman Old Style"/>
          <w:i/>
          <w:iCs/>
          <w:sz w:val="20"/>
          <w:szCs w:val="20"/>
          <w:bdr w:val="nil"/>
        </w:rPr>
        <w:t>-</w:t>
      </w:r>
      <w:r w:rsidR="004C55CF">
        <w:rPr>
          <w:rFonts w:ascii="Bookman Old Style" w:eastAsia="Arial Unicode MS" w:hAnsi="Bookman Old Style"/>
          <w:i/>
          <w:iCs/>
          <w:sz w:val="20"/>
          <w:szCs w:val="20"/>
          <w:bdr w:val="nil"/>
        </w:rPr>
        <w:t>m</w:t>
      </w:r>
      <w:r w:rsidRPr="004C55CF">
        <w:rPr>
          <w:rFonts w:ascii="Bookman Old Style" w:eastAsia="Arial Unicode MS" w:hAnsi="Bookman Old Style"/>
          <w:i/>
          <w:iCs/>
          <w:sz w:val="20"/>
          <w:szCs w:val="20"/>
          <w:bdr w:val="nil"/>
        </w:rPr>
        <w:t>anaafi'</w:t>
      </w:r>
      <w:r w:rsidRPr="00DE6169">
        <w:rPr>
          <w:rFonts w:ascii="Bookman Old Style" w:eastAsia="Arial Unicode MS" w:hAnsi="Bookman Old Style"/>
          <w:sz w:val="20"/>
          <w:szCs w:val="20"/>
          <w:bdr w:val="nil"/>
        </w:rPr>
        <w:t xml:space="preserve"> (Jual Beli Manfaat). Kemudian manfaat barang yang akan dirasakan pun tidak ada pada saat akad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berlangsung. Penelian ini juga sejalan dengan kajian yang dilakukan </w:t>
      </w:r>
      <w:r w:rsidR="004C55CF">
        <w:rPr>
          <w:rFonts w:ascii="Bookman Old Style" w:eastAsia="Arial Unicode MS" w:hAnsi="Bookman Old Style"/>
          <w:sz w:val="20"/>
          <w:szCs w:val="20"/>
          <w:bdr w:val="nil"/>
        </w:rPr>
        <w:t xml:space="preserve">oleh </w:t>
      </w:r>
      <w:r w:rsidRPr="00DE6169">
        <w:rPr>
          <w:rFonts w:ascii="Bookman Old Style" w:eastAsia="Arial Unicode MS" w:hAnsi="Bookman Old Style"/>
          <w:sz w:val="20"/>
          <w:szCs w:val="20"/>
          <w:bdr w:val="nil"/>
        </w:rPr>
        <w:t xml:space="preserve">Oktaviani </w:t>
      </w:r>
      <w:r w:rsidR="004C55CF">
        <w:rPr>
          <w:rFonts w:ascii="Bookman Old Style" w:eastAsia="Arial Unicode MS" w:hAnsi="Bookman Old Style"/>
          <w:sz w:val="20"/>
          <w:szCs w:val="20"/>
          <w:bdr w:val="nil"/>
        </w:rPr>
        <w:t>(</w:t>
      </w:r>
      <w:r w:rsidRPr="00DE6169">
        <w:rPr>
          <w:rFonts w:ascii="Bookman Old Style" w:eastAsia="Arial Unicode MS" w:hAnsi="Bookman Old Style"/>
          <w:sz w:val="20"/>
          <w:szCs w:val="20"/>
          <w:bdr w:val="nil"/>
        </w:rPr>
        <w:t xml:space="preserve">2018) bahwa dalam akad </w:t>
      </w:r>
      <w:r w:rsidR="004C55CF" w:rsidRPr="004C55CF">
        <w:rPr>
          <w:rFonts w:ascii="Bookman Old Style" w:eastAsia="Arial Unicode MS" w:hAnsi="Bookman Old Style"/>
          <w:i/>
          <w:iCs/>
          <w:sz w:val="20"/>
          <w:szCs w:val="20"/>
          <w:bdr w:val="nil"/>
        </w:rPr>
        <w:t>ijarah</w:t>
      </w:r>
      <w:r w:rsidRPr="00DE6169">
        <w:rPr>
          <w:rFonts w:ascii="Bookman Old Style" w:eastAsia="Arial Unicode MS" w:hAnsi="Bookman Old Style"/>
          <w:sz w:val="20"/>
          <w:szCs w:val="20"/>
          <w:bdr w:val="nil"/>
        </w:rPr>
        <w:t xml:space="preserve"> manfaat dari barang atau jasa baru dapat dirasakan pada saat hari keberangkatan perjalanan haji/umrah hingga selesainya kegiatan. Inilah yang disebut dengan istilah </w:t>
      </w:r>
      <w:r w:rsidR="004C55CF" w:rsidRPr="004C55CF">
        <w:rPr>
          <w:rFonts w:ascii="Bookman Old Style" w:eastAsia="Arial Unicode MS" w:hAnsi="Bookman Old Style"/>
          <w:i/>
          <w:iCs/>
          <w:sz w:val="20"/>
          <w:szCs w:val="20"/>
          <w:bdr w:val="nil"/>
        </w:rPr>
        <w:t>m</w:t>
      </w:r>
      <w:r w:rsidRPr="004C55CF">
        <w:rPr>
          <w:rFonts w:ascii="Bookman Old Style" w:eastAsia="Arial Unicode MS" w:hAnsi="Bookman Old Style"/>
          <w:i/>
          <w:iCs/>
          <w:sz w:val="20"/>
          <w:szCs w:val="20"/>
          <w:bdr w:val="nil"/>
        </w:rPr>
        <w:t>aushufah fi al-</w:t>
      </w:r>
      <w:r w:rsidR="004C55CF">
        <w:rPr>
          <w:rFonts w:ascii="Bookman Old Style" w:eastAsia="Arial Unicode MS" w:hAnsi="Bookman Old Style"/>
          <w:i/>
          <w:iCs/>
          <w:sz w:val="20"/>
          <w:szCs w:val="20"/>
          <w:bdr w:val="nil"/>
        </w:rPr>
        <w:t>d</w:t>
      </w:r>
      <w:r w:rsidRPr="004C55CF">
        <w:rPr>
          <w:rFonts w:ascii="Bookman Old Style" w:eastAsia="Arial Unicode MS" w:hAnsi="Bookman Old Style"/>
          <w:i/>
          <w:iCs/>
          <w:sz w:val="20"/>
          <w:szCs w:val="20"/>
          <w:bdr w:val="nil"/>
        </w:rPr>
        <w:t>zimmah</w:t>
      </w:r>
      <w:r w:rsidRPr="00DE6169">
        <w:rPr>
          <w:rFonts w:ascii="Bookman Old Style" w:eastAsia="Arial Unicode MS" w:hAnsi="Bookman Old Style"/>
          <w:sz w:val="20"/>
          <w:szCs w:val="20"/>
          <w:bdr w:val="nil"/>
        </w:rPr>
        <w:t>.</w:t>
      </w:r>
    </w:p>
    <w:p w14:paraId="5FB0FFF5" w14:textId="753FA45B" w:rsidR="004E4E74" w:rsidRDefault="004C55CF" w:rsidP="004C55CF">
      <w:pPr>
        <w:pStyle w:val="KisiSedang21"/>
        <w:spacing w:line="260" w:lineRule="atLeast"/>
        <w:jc w:val="both"/>
        <w:rPr>
          <w:rFonts w:ascii="Bookman Old Style" w:eastAsia="Arial Unicode MS" w:hAnsi="Bookman Old Style"/>
          <w:sz w:val="20"/>
          <w:szCs w:val="20"/>
          <w:bdr w:val="nil"/>
        </w:rPr>
      </w:pPr>
      <w:r>
        <w:rPr>
          <w:rFonts w:ascii="Bookman Old Style" w:eastAsia="Arial Unicode MS" w:hAnsi="Bookman Old Style"/>
          <w:sz w:val="20"/>
          <w:szCs w:val="20"/>
          <w:bdr w:val="nil"/>
        </w:rPr>
        <w:t>M</w:t>
      </w:r>
      <w:r w:rsidR="00DE6169" w:rsidRPr="00DE6169">
        <w:rPr>
          <w:rFonts w:ascii="Bookman Old Style" w:eastAsia="Arial Unicode MS" w:hAnsi="Bookman Old Style"/>
          <w:sz w:val="20"/>
          <w:szCs w:val="20"/>
          <w:bdr w:val="nil"/>
        </w:rPr>
        <w:t xml:space="preserve">enurut Novindri </w:t>
      </w:r>
      <w:r>
        <w:rPr>
          <w:rFonts w:ascii="Bookman Old Style" w:eastAsia="Arial Unicode MS" w:hAnsi="Bookman Old Style"/>
          <w:sz w:val="20"/>
          <w:szCs w:val="20"/>
          <w:bdr w:val="nil"/>
        </w:rPr>
        <w:t>(</w:t>
      </w:r>
      <w:r w:rsidR="00DE6169" w:rsidRPr="00DE6169">
        <w:rPr>
          <w:rFonts w:ascii="Bookman Old Style" w:eastAsia="Arial Unicode MS" w:hAnsi="Bookman Old Style"/>
          <w:sz w:val="20"/>
          <w:szCs w:val="20"/>
          <w:bdr w:val="nil"/>
        </w:rPr>
        <w:t xml:space="preserve">2013) sebagaimana kasus yang terjadi pada pembiayaan pengurusan haji, Lembaga Keuangan Syariah (LKS) dapat memeproleh imbalan (ujrah) dengan menggunakan prinsip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sesuai fatwa DSN-MUI nomor 9/DSN-MUI/IV/2000. Berkaca pada hal tersebut, maka prinsip </w:t>
      </w:r>
      <w:r w:rsidRPr="004C55CF">
        <w:rPr>
          <w:rFonts w:ascii="Bookman Old Style" w:eastAsia="Arial Unicode MS" w:hAnsi="Bookman Old Style"/>
          <w:i/>
          <w:iCs/>
          <w:sz w:val="20"/>
          <w:szCs w:val="20"/>
          <w:bdr w:val="nil"/>
        </w:rPr>
        <w:t>ijarah</w:t>
      </w:r>
      <w:r w:rsidR="00DE6169" w:rsidRPr="00DE6169">
        <w:rPr>
          <w:rFonts w:ascii="Bookman Old Style" w:eastAsia="Arial Unicode MS" w:hAnsi="Bookman Old Style"/>
          <w:sz w:val="20"/>
          <w:szCs w:val="20"/>
          <w:bdr w:val="nil"/>
        </w:rPr>
        <w:t xml:space="preserve"> pun dapat digunakan untuk pengurusan pembiayaan umrah Lembaga Keuangan Syariah (LKS) atau pengurusa pejalanan umrah dari penyedia jasa.</w:t>
      </w:r>
    </w:p>
    <w:p w14:paraId="42991B43" w14:textId="77777777" w:rsidR="00DE6169" w:rsidRDefault="00DE6169" w:rsidP="004E4E74">
      <w:pPr>
        <w:pStyle w:val="KisiSedang21"/>
        <w:spacing w:after="240" w:line="260" w:lineRule="atLeast"/>
        <w:jc w:val="both"/>
        <w:rPr>
          <w:rFonts w:ascii="Bookman Old Style" w:eastAsia="Arial Unicode MS" w:hAnsi="Bookman Old Style"/>
          <w:sz w:val="20"/>
          <w:szCs w:val="20"/>
          <w:bdr w:val="nil"/>
        </w:rPr>
      </w:pPr>
    </w:p>
    <w:p w14:paraId="24583245" w14:textId="77777777" w:rsidR="004E4E74" w:rsidRPr="00225B1A" w:rsidRDefault="004E4E74" w:rsidP="004E4E74">
      <w:pPr>
        <w:pStyle w:val="KisiSedang21"/>
        <w:spacing w:after="240" w:line="260" w:lineRule="atLeast"/>
        <w:jc w:val="both"/>
        <w:rPr>
          <w:rFonts w:ascii="Bookman Old Style" w:eastAsia="Arial Unicode MS" w:hAnsi="Bookman Old Style"/>
          <w:b/>
          <w:sz w:val="20"/>
          <w:szCs w:val="20"/>
          <w:bdr w:val="nil"/>
        </w:rPr>
      </w:pPr>
      <w:r w:rsidRPr="00225B1A">
        <w:rPr>
          <w:rFonts w:ascii="Bookman Old Style" w:eastAsia="Arial Unicode MS" w:hAnsi="Bookman Old Style"/>
          <w:b/>
          <w:sz w:val="20"/>
          <w:szCs w:val="20"/>
          <w:bdr w:val="nil"/>
        </w:rPr>
        <w:t>SIMPULAN</w:t>
      </w:r>
    </w:p>
    <w:p w14:paraId="381D0628" w14:textId="7387B83F" w:rsidR="00DE6169" w:rsidRDefault="00DE6169" w:rsidP="004C55CF">
      <w:pPr>
        <w:spacing w:after="0" w:line="260" w:lineRule="atLeast"/>
        <w:jc w:val="both"/>
        <w:rPr>
          <w:rFonts w:ascii="Bookman Old Style" w:hAnsi="Bookman Old Style"/>
          <w:sz w:val="20"/>
          <w:szCs w:val="20"/>
        </w:rPr>
      </w:pPr>
      <w:bookmarkStart w:id="1" w:name="_Toc435447532"/>
      <w:r w:rsidRPr="00DE6169">
        <w:rPr>
          <w:rFonts w:ascii="Bookman Old Style" w:hAnsi="Bookman Old Style"/>
          <w:sz w:val="20"/>
          <w:szCs w:val="20"/>
        </w:rPr>
        <w:t xml:space="preserve">Berdasarkan paparan, pembahasan di atas diantara ketiga akad maka transaksi layanan umrah lebih tepat bila menggunakan akad </w:t>
      </w:r>
      <w:r w:rsidR="004C55CF">
        <w:rPr>
          <w:rFonts w:ascii="Bookman Old Style" w:hAnsi="Bookman Old Style"/>
          <w:i/>
          <w:iCs/>
          <w:sz w:val="20"/>
          <w:szCs w:val="20"/>
        </w:rPr>
        <w:t>i</w:t>
      </w:r>
      <w:r w:rsidR="004C55CF" w:rsidRPr="004C55CF">
        <w:rPr>
          <w:rFonts w:ascii="Bookman Old Style" w:hAnsi="Bookman Old Style"/>
          <w:i/>
          <w:iCs/>
          <w:sz w:val="20"/>
          <w:szCs w:val="20"/>
        </w:rPr>
        <w:t>jarah</w:t>
      </w:r>
      <w:r w:rsidRPr="00DE6169">
        <w:rPr>
          <w:rFonts w:ascii="Bookman Old Style" w:hAnsi="Bookman Old Style"/>
          <w:sz w:val="20"/>
          <w:szCs w:val="20"/>
        </w:rPr>
        <w:t xml:space="preserve">, baik dalam pengertian upah-mengupah maupun sewa-menyewa dibandingkan dengan akad </w:t>
      </w:r>
      <w:r w:rsidRPr="004C55CF">
        <w:rPr>
          <w:rFonts w:ascii="Bookman Old Style" w:hAnsi="Bookman Old Style"/>
          <w:i/>
          <w:iCs/>
          <w:sz w:val="20"/>
          <w:szCs w:val="20"/>
        </w:rPr>
        <w:t>al</w:t>
      </w:r>
      <w:r w:rsidR="004C55CF" w:rsidRPr="004C55CF">
        <w:rPr>
          <w:rFonts w:ascii="Bookman Old Style" w:hAnsi="Bookman Old Style"/>
          <w:i/>
          <w:iCs/>
          <w:sz w:val="20"/>
          <w:szCs w:val="20"/>
        </w:rPr>
        <w:t>-b</w:t>
      </w:r>
      <w:r w:rsidRPr="004C55CF">
        <w:rPr>
          <w:rFonts w:ascii="Bookman Old Style" w:hAnsi="Bookman Old Style"/>
          <w:i/>
          <w:iCs/>
          <w:sz w:val="20"/>
          <w:szCs w:val="20"/>
        </w:rPr>
        <w:t>ai’</w:t>
      </w:r>
      <w:r w:rsidRPr="00DE6169">
        <w:rPr>
          <w:rFonts w:ascii="Bookman Old Style" w:hAnsi="Bookman Old Style"/>
          <w:sz w:val="20"/>
          <w:szCs w:val="20"/>
        </w:rPr>
        <w:t xml:space="preserve">. Hal ini disebabkan </w:t>
      </w:r>
      <w:r w:rsidR="00E26F8E">
        <w:rPr>
          <w:rFonts w:ascii="Bookman Old Style" w:hAnsi="Bookman Old Style"/>
          <w:sz w:val="20"/>
          <w:szCs w:val="20"/>
        </w:rPr>
        <w:t>objek</w:t>
      </w:r>
      <w:r w:rsidRPr="00DE6169">
        <w:rPr>
          <w:rFonts w:ascii="Bookman Old Style" w:hAnsi="Bookman Old Style"/>
          <w:sz w:val="20"/>
          <w:szCs w:val="20"/>
        </w:rPr>
        <w:t xml:space="preserve"> layanan </w:t>
      </w:r>
      <w:r w:rsidR="00E26F8E">
        <w:rPr>
          <w:rFonts w:ascii="Bookman Old Style" w:hAnsi="Bookman Old Style"/>
          <w:sz w:val="20"/>
          <w:szCs w:val="20"/>
        </w:rPr>
        <w:t>umrah</w:t>
      </w:r>
      <w:r w:rsidRPr="00DE6169">
        <w:rPr>
          <w:rFonts w:ascii="Bookman Old Style" w:hAnsi="Bookman Old Style"/>
          <w:sz w:val="20"/>
          <w:szCs w:val="20"/>
        </w:rPr>
        <w:t xml:space="preserve"> adalah manfaat yang tersebar sejak dimulainya keberangkatan </w:t>
      </w:r>
      <w:r w:rsidR="00E26F8E">
        <w:rPr>
          <w:rFonts w:ascii="Bookman Old Style" w:hAnsi="Bookman Old Style"/>
          <w:sz w:val="20"/>
          <w:szCs w:val="20"/>
        </w:rPr>
        <w:t>umrah</w:t>
      </w:r>
      <w:r w:rsidRPr="00DE6169">
        <w:rPr>
          <w:rFonts w:ascii="Bookman Old Style" w:hAnsi="Bookman Old Style"/>
          <w:sz w:val="20"/>
          <w:szCs w:val="20"/>
        </w:rPr>
        <w:t xml:space="preserve">, pelaksanaan ibadah </w:t>
      </w:r>
      <w:r w:rsidR="00E26F8E">
        <w:rPr>
          <w:rFonts w:ascii="Bookman Old Style" w:hAnsi="Bookman Old Style"/>
          <w:sz w:val="20"/>
          <w:szCs w:val="20"/>
        </w:rPr>
        <w:t>umrah</w:t>
      </w:r>
      <w:r w:rsidRPr="00DE6169">
        <w:rPr>
          <w:rFonts w:ascii="Bookman Old Style" w:hAnsi="Bookman Old Style"/>
          <w:sz w:val="20"/>
          <w:szCs w:val="20"/>
        </w:rPr>
        <w:t xml:space="preserve"> hingga selesai kemudian sampai kembalinya ke kota atau tempat keberangkatan semula. Akad </w:t>
      </w:r>
      <w:r w:rsidR="004C55CF" w:rsidRPr="004C55CF">
        <w:rPr>
          <w:rFonts w:ascii="Bookman Old Style" w:hAnsi="Bookman Old Style"/>
          <w:i/>
          <w:iCs/>
          <w:sz w:val="20"/>
          <w:szCs w:val="20"/>
        </w:rPr>
        <w:t>ijarah</w:t>
      </w:r>
      <w:r w:rsidRPr="00DE6169">
        <w:rPr>
          <w:rFonts w:ascii="Bookman Old Style" w:hAnsi="Bookman Old Style"/>
          <w:sz w:val="20"/>
          <w:szCs w:val="20"/>
        </w:rPr>
        <w:t xml:space="preserve"> ini dapat digunakan oleh biro perjalanan penyelenggara ibadah </w:t>
      </w:r>
      <w:r w:rsidR="00E26F8E">
        <w:rPr>
          <w:rFonts w:ascii="Bookman Old Style" w:hAnsi="Bookman Old Style"/>
          <w:sz w:val="20"/>
          <w:szCs w:val="20"/>
        </w:rPr>
        <w:t>umrah</w:t>
      </w:r>
      <w:r w:rsidRPr="00DE6169">
        <w:rPr>
          <w:rFonts w:ascii="Bookman Old Style" w:hAnsi="Bookman Old Style"/>
          <w:sz w:val="20"/>
          <w:szCs w:val="20"/>
        </w:rPr>
        <w:t xml:space="preserve">, Lembaga Keuangan Syariah dan kerjasama antara keduanya yakni akad </w:t>
      </w:r>
      <w:r w:rsidR="004C55CF">
        <w:rPr>
          <w:rFonts w:ascii="Bookman Old Style" w:hAnsi="Bookman Old Style"/>
          <w:i/>
          <w:iCs/>
          <w:sz w:val="20"/>
          <w:szCs w:val="20"/>
        </w:rPr>
        <w:t>i</w:t>
      </w:r>
      <w:r w:rsidR="004C55CF" w:rsidRPr="004C55CF">
        <w:rPr>
          <w:rFonts w:ascii="Bookman Old Style" w:hAnsi="Bookman Old Style"/>
          <w:i/>
          <w:iCs/>
          <w:sz w:val="20"/>
          <w:szCs w:val="20"/>
        </w:rPr>
        <w:t>jarah</w:t>
      </w:r>
      <w:r w:rsidRPr="004C55CF">
        <w:rPr>
          <w:rFonts w:ascii="Bookman Old Style" w:hAnsi="Bookman Old Style"/>
          <w:i/>
          <w:iCs/>
          <w:sz w:val="20"/>
          <w:szCs w:val="20"/>
        </w:rPr>
        <w:t xml:space="preserve"> bil </w:t>
      </w:r>
      <w:r w:rsidR="004C55CF">
        <w:rPr>
          <w:rFonts w:ascii="Bookman Old Style" w:hAnsi="Bookman Old Style"/>
          <w:i/>
          <w:iCs/>
          <w:sz w:val="20"/>
          <w:szCs w:val="20"/>
        </w:rPr>
        <w:t>i</w:t>
      </w:r>
      <w:r w:rsidR="004C55CF" w:rsidRPr="004C55CF">
        <w:rPr>
          <w:rFonts w:ascii="Bookman Old Style" w:hAnsi="Bookman Old Style"/>
          <w:i/>
          <w:iCs/>
          <w:sz w:val="20"/>
          <w:szCs w:val="20"/>
        </w:rPr>
        <w:t>jarah</w:t>
      </w:r>
      <w:r w:rsidRPr="00DE6169">
        <w:rPr>
          <w:rFonts w:ascii="Bookman Old Style" w:hAnsi="Bookman Old Style"/>
          <w:sz w:val="20"/>
          <w:szCs w:val="20"/>
        </w:rPr>
        <w:t xml:space="preserve">. Artinya, Lembaga Keuangan Syariah yang tidak memiliki unit kerja yang menangani perjalanan </w:t>
      </w:r>
      <w:r w:rsidR="00E26F8E">
        <w:rPr>
          <w:rFonts w:ascii="Bookman Old Style" w:hAnsi="Bookman Old Style"/>
          <w:sz w:val="20"/>
          <w:szCs w:val="20"/>
        </w:rPr>
        <w:t>Umrah</w:t>
      </w:r>
      <w:r w:rsidRPr="00DE6169">
        <w:rPr>
          <w:rFonts w:ascii="Bookman Old Style" w:hAnsi="Bookman Old Style"/>
          <w:sz w:val="20"/>
          <w:szCs w:val="20"/>
        </w:rPr>
        <w:t xml:space="preserve"> melakukan transaksi </w:t>
      </w:r>
      <w:r w:rsidR="004C55CF" w:rsidRPr="004C55CF">
        <w:rPr>
          <w:rFonts w:ascii="Bookman Old Style" w:hAnsi="Bookman Old Style"/>
          <w:i/>
          <w:iCs/>
          <w:sz w:val="20"/>
          <w:szCs w:val="20"/>
        </w:rPr>
        <w:t>ijarah</w:t>
      </w:r>
      <w:r w:rsidRPr="00DE6169">
        <w:rPr>
          <w:rFonts w:ascii="Bookman Old Style" w:hAnsi="Bookman Old Style"/>
          <w:sz w:val="20"/>
          <w:szCs w:val="20"/>
        </w:rPr>
        <w:t xml:space="preserve"> dari Biro Perjalanan penyelenggara perjalanan Umrah untuk kemudian di-</w:t>
      </w:r>
      <w:r w:rsidR="004C55CF">
        <w:rPr>
          <w:rFonts w:ascii="Bookman Old Style" w:hAnsi="Bookman Old Style"/>
          <w:i/>
          <w:iCs/>
          <w:sz w:val="20"/>
          <w:szCs w:val="20"/>
        </w:rPr>
        <w:t>i</w:t>
      </w:r>
      <w:r w:rsidR="004C55CF" w:rsidRPr="004C55CF">
        <w:rPr>
          <w:rFonts w:ascii="Bookman Old Style" w:hAnsi="Bookman Old Style"/>
          <w:i/>
          <w:iCs/>
          <w:sz w:val="20"/>
          <w:szCs w:val="20"/>
        </w:rPr>
        <w:t>jarah</w:t>
      </w:r>
      <w:r w:rsidRPr="00DE6169">
        <w:rPr>
          <w:rFonts w:ascii="Bookman Old Style" w:hAnsi="Bookman Old Style"/>
          <w:sz w:val="20"/>
          <w:szCs w:val="20"/>
        </w:rPr>
        <w:t>kan ulang kepada nasabahnya yang berniat melakukan ibadah Umrah.</w:t>
      </w:r>
    </w:p>
    <w:p w14:paraId="668D59DB" w14:textId="1B235031" w:rsidR="004E4E74" w:rsidRPr="00B7033D" w:rsidRDefault="004E4E74" w:rsidP="004E4E74">
      <w:pPr>
        <w:spacing w:after="240" w:line="260" w:lineRule="atLeast"/>
        <w:jc w:val="both"/>
        <w:rPr>
          <w:rFonts w:ascii="Bookman Old Style" w:hAnsi="Bookman Old Style"/>
          <w:sz w:val="20"/>
          <w:szCs w:val="20"/>
        </w:rPr>
      </w:pPr>
    </w:p>
    <w:p w14:paraId="57BD09C3" w14:textId="77777777" w:rsidR="004E4E74" w:rsidRPr="00225B1A" w:rsidRDefault="004E4E74" w:rsidP="004E4E74">
      <w:pPr>
        <w:pStyle w:val="KisiSedang21"/>
        <w:spacing w:after="240" w:line="260" w:lineRule="atLeast"/>
        <w:jc w:val="both"/>
        <w:rPr>
          <w:rFonts w:ascii="Bookman Old Style" w:eastAsia="Arial Unicode MS" w:hAnsi="Bookman Old Style"/>
          <w:b/>
          <w:sz w:val="20"/>
          <w:szCs w:val="20"/>
          <w:bdr w:val="nil"/>
        </w:rPr>
      </w:pPr>
      <w:r>
        <w:rPr>
          <w:rFonts w:ascii="Bookman Old Style" w:eastAsia="Arial Unicode MS" w:hAnsi="Bookman Old Style"/>
          <w:b/>
          <w:sz w:val="20"/>
          <w:szCs w:val="20"/>
          <w:bdr w:val="nil"/>
        </w:rPr>
        <w:t>DISKUSI</w:t>
      </w:r>
    </w:p>
    <w:p w14:paraId="6500DF4A" w14:textId="32A80444" w:rsidR="004E4E74" w:rsidRDefault="00DE6169" w:rsidP="00DE6169">
      <w:pPr>
        <w:spacing w:after="240" w:line="260" w:lineRule="atLeast"/>
        <w:jc w:val="both"/>
        <w:rPr>
          <w:rFonts w:ascii="Bookman Old Style" w:hAnsi="Bookman Old Style"/>
          <w:sz w:val="20"/>
          <w:szCs w:val="20"/>
        </w:rPr>
      </w:pPr>
      <w:r w:rsidRPr="00DE6169">
        <w:rPr>
          <w:rFonts w:ascii="Bookman Old Style" w:hAnsi="Bookman Old Style"/>
          <w:sz w:val="20"/>
          <w:szCs w:val="20"/>
        </w:rPr>
        <w:t xml:space="preserve">Pembahasan dalam penelitian ini memberikan gambaran bagi pelaku biro peyelenggara umrah jenis akad yang sesuai untuk bagi transaski bisnisnya. Dengan demikian kerancuan pemilihan akad dalam transaksi layanan penyelenggaraan </w:t>
      </w:r>
      <w:r w:rsidR="00E26F8E">
        <w:rPr>
          <w:rFonts w:ascii="Bookman Old Style" w:hAnsi="Bookman Old Style"/>
          <w:sz w:val="20"/>
          <w:szCs w:val="20"/>
        </w:rPr>
        <w:t>umrah</w:t>
      </w:r>
      <w:r w:rsidRPr="00DE6169">
        <w:rPr>
          <w:rFonts w:ascii="Bookman Old Style" w:hAnsi="Bookman Old Style"/>
          <w:sz w:val="20"/>
          <w:szCs w:val="20"/>
        </w:rPr>
        <w:t xml:space="preserve"> dapat dihindari. Penelitan ini merupakan penelitian dasar yang pada tahap selanjutnya masih perlu dikembangkan lagi dalam tataran kajian emperik. Diharapkan penelitian lanjutan dapat mengkaji lebih mendalam sehingga dapat menjadi acuan dalam mengembangkan akad bagi lembaga bisnis yang akan menawarkan layanan </w:t>
      </w:r>
      <w:r w:rsidR="00E26F8E">
        <w:rPr>
          <w:rFonts w:ascii="Bookman Old Style" w:hAnsi="Bookman Old Style"/>
          <w:sz w:val="20"/>
          <w:szCs w:val="20"/>
        </w:rPr>
        <w:t>umrah</w:t>
      </w:r>
      <w:r w:rsidRPr="00DE6169">
        <w:rPr>
          <w:rFonts w:ascii="Bookman Old Style" w:hAnsi="Bookman Old Style"/>
          <w:sz w:val="20"/>
          <w:szCs w:val="20"/>
        </w:rPr>
        <w:t>.</w:t>
      </w:r>
    </w:p>
    <w:p w14:paraId="68E2E6BD" w14:textId="1024C653" w:rsidR="004E4E74" w:rsidRPr="00225B1A" w:rsidRDefault="004E4E74" w:rsidP="004E4E74">
      <w:pPr>
        <w:pStyle w:val="Heading1"/>
        <w:widowControl w:val="0"/>
        <w:spacing w:before="0" w:beforeAutospacing="0" w:after="240" w:afterAutospacing="0" w:line="260" w:lineRule="atLeast"/>
        <w:rPr>
          <w:rFonts w:ascii="Bookman Old Style" w:hAnsi="Bookman Old Style"/>
          <w:sz w:val="20"/>
          <w:szCs w:val="20"/>
          <w:lang w:val="id-ID"/>
        </w:rPr>
      </w:pPr>
      <w:r w:rsidRPr="00225B1A">
        <w:rPr>
          <w:rFonts w:ascii="Bookman Old Style" w:hAnsi="Bookman Old Style"/>
          <w:sz w:val="20"/>
          <w:szCs w:val="20"/>
        </w:rPr>
        <w:t>D</w:t>
      </w:r>
      <w:bookmarkEnd w:id="1"/>
      <w:r w:rsidRPr="00225B1A">
        <w:rPr>
          <w:rFonts w:ascii="Bookman Old Style" w:hAnsi="Bookman Old Style"/>
          <w:sz w:val="20"/>
          <w:szCs w:val="20"/>
        </w:rPr>
        <w:t xml:space="preserve">AFTAR </w:t>
      </w:r>
      <w:r w:rsidRPr="00225B1A">
        <w:rPr>
          <w:rFonts w:ascii="Bookman Old Style" w:hAnsi="Bookman Old Style"/>
          <w:sz w:val="20"/>
          <w:szCs w:val="20"/>
          <w:lang w:val="id-ID"/>
        </w:rPr>
        <w:t>RUJUKAN</w:t>
      </w:r>
    </w:p>
    <w:p w14:paraId="1F0541C1"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Aini, F., &amp; Wahab, A. (2016). PENERAPAN ALTERNATIF AKAD PEMBIAYAAN </w:t>
      </w:r>
      <w:r>
        <w:rPr>
          <w:rFonts w:ascii="Times New Roman" w:hAnsi="Times New Roman" w:cs="Times New Roman"/>
          <w:sz w:val="24"/>
          <w:szCs w:val="24"/>
        </w:rPr>
        <w:lastRenderedPageBreak/>
        <w:t>HAJI DAN UMRAH PASCA PERATURAN MENTERI NO 24 TAHUN 2016 PADA BANK PANIN DUBAI SYARIAH SURABAYA, (24). https://doi.org/http://dx.doi.org/10.30651/justeko.v2i1.1692</w:t>
      </w:r>
    </w:p>
    <w:p w14:paraId="27B848E1"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Al Zuhayli, W. (2002). </w:t>
      </w:r>
      <w:r>
        <w:rPr>
          <w:rFonts w:ascii="Times New Roman" w:hAnsi="Times New Roman" w:cs="Times New Roman"/>
          <w:i/>
          <w:iCs/>
          <w:sz w:val="24"/>
          <w:szCs w:val="24"/>
        </w:rPr>
        <w:t>iti sh Fo od Jo ur</w:t>
      </w:r>
      <w:r>
        <w:rPr>
          <w:rFonts w:ascii="Times New Roman" w:hAnsi="Times New Roman" w:cs="Times New Roman"/>
          <w:sz w:val="24"/>
          <w:szCs w:val="24"/>
        </w:rPr>
        <w:t xml:space="preserve">. </w:t>
      </w:r>
      <w:r>
        <w:rPr>
          <w:rFonts w:ascii="Times New Roman" w:hAnsi="Times New Roman" w:cs="Times New Roman"/>
          <w:i/>
          <w:iCs/>
          <w:sz w:val="24"/>
          <w:szCs w:val="24"/>
        </w:rPr>
        <w:t>Al-Fiqh al-Islam wa Adilatuhu, Syria:</w:t>
      </w:r>
      <w:r>
        <w:rPr>
          <w:rFonts w:ascii="Times New Roman" w:hAnsi="Times New Roman" w:cs="Times New Roman"/>
          <w:sz w:val="24"/>
          <w:szCs w:val="24"/>
        </w:rPr>
        <w:t xml:space="preserve"> Syiria: Damascus: Dar al Fikr.</w:t>
      </w:r>
    </w:p>
    <w:p w14:paraId="63D0A951"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Amilia, S., Rachmawati, B., &amp; Febriandika, N. R. (2019). Implementation of Sharia Business Strategy Development Through Sharia Multilevel Marketing Schemes in Hajj and Umrah Travel Agencies. In </w:t>
      </w:r>
      <w:r>
        <w:rPr>
          <w:rFonts w:ascii="Times New Roman" w:hAnsi="Times New Roman" w:cs="Times New Roman"/>
          <w:i/>
          <w:iCs/>
          <w:sz w:val="24"/>
          <w:szCs w:val="24"/>
        </w:rPr>
        <w:t>Advances in Economics, Business and Management Research, volume 101 1st</w:t>
      </w:r>
      <w:r>
        <w:rPr>
          <w:rFonts w:ascii="Times New Roman" w:hAnsi="Times New Roman" w:cs="Times New Roman"/>
          <w:sz w:val="24"/>
          <w:szCs w:val="24"/>
        </w:rPr>
        <w:t xml:space="preserve"> (Vol. 101, pp. 303–306). Atlantis Press.</w:t>
      </w:r>
    </w:p>
    <w:p w14:paraId="56FC7080"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Antonio, M. S. (2011). ISLAMIC MICROFINANCE INITIATIVES TO ENHANCE SMALL From Historical Overview to Contemporary Situation Muhammad Syafii Antonio Tazkia University College of Islamic Economics , Jakarta. </w:t>
      </w:r>
      <w:r>
        <w:rPr>
          <w:rFonts w:ascii="Times New Roman" w:hAnsi="Times New Roman" w:cs="Times New Roman"/>
          <w:i/>
          <w:iCs/>
          <w:sz w:val="24"/>
          <w:szCs w:val="24"/>
        </w:rPr>
        <w:t>Journal of Indonesian Islam</w:t>
      </w:r>
      <w:r>
        <w:rPr>
          <w:rFonts w:ascii="Times New Roman" w:hAnsi="Times New Roman" w:cs="Times New Roman"/>
          <w:sz w:val="24"/>
          <w:szCs w:val="24"/>
        </w:rPr>
        <w:t xml:space="preserve">, </w:t>
      </w:r>
      <w:r>
        <w:rPr>
          <w:rFonts w:ascii="Times New Roman" w:hAnsi="Times New Roman" w:cs="Times New Roman"/>
          <w:i/>
          <w:iCs/>
          <w:sz w:val="24"/>
          <w:szCs w:val="24"/>
        </w:rPr>
        <w:t>05</w:t>
      </w:r>
      <w:r>
        <w:rPr>
          <w:rFonts w:ascii="Times New Roman" w:hAnsi="Times New Roman" w:cs="Times New Roman"/>
          <w:sz w:val="24"/>
          <w:szCs w:val="24"/>
        </w:rPr>
        <w:t>(02), 313–334.</w:t>
      </w:r>
    </w:p>
    <w:p w14:paraId="2D74C3CE"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Ayub, M. (1999). </w:t>
      </w:r>
      <w:r>
        <w:rPr>
          <w:rFonts w:ascii="Times New Roman" w:hAnsi="Times New Roman" w:cs="Times New Roman"/>
          <w:i/>
          <w:iCs/>
          <w:sz w:val="24"/>
          <w:szCs w:val="24"/>
        </w:rPr>
        <w:t>Understanding Islamic Finance</w:t>
      </w:r>
      <w:r>
        <w:rPr>
          <w:rFonts w:ascii="Times New Roman" w:hAnsi="Times New Roman" w:cs="Times New Roman"/>
          <w:sz w:val="24"/>
          <w:szCs w:val="24"/>
        </w:rPr>
        <w:t>. (M. F. K. Chief, Ed.). London: IIBI.</w:t>
      </w:r>
    </w:p>
    <w:p w14:paraId="73887F7D"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Cahyaningrum, D. (2017). TANGGUNG JAWAB HUKUM FIRST TRAVEL. </w:t>
      </w:r>
      <w:r>
        <w:rPr>
          <w:rFonts w:ascii="Times New Roman" w:hAnsi="Times New Roman" w:cs="Times New Roman"/>
          <w:i/>
          <w:iCs/>
          <w:sz w:val="24"/>
          <w:szCs w:val="24"/>
        </w:rPr>
        <w:t>Majalah Info Singkat Hukum</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(16). Retrieved from www.puslit.dpr.go.id</w:t>
      </w:r>
    </w:p>
    <w:p w14:paraId="568FCD74"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Imaniyati, N. S. (2019). THE AGREEMENT OF UMRAH PILGRIMAGE WITH UMRAH TRAVEL OPERATORS ( According to PMA Number 8 Year 2018 and Sharia Economic Law ). In </w:t>
      </w:r>
      <w:r>
        <w:rPr>
          <w:rFonts w:ascii="Times New Roman" w:hAnsi="Times New Roman" w:cs="Times New Roman"/>
          <w:i/>
          <w:iCs/>
          <w:sz w:val="24"/>
          <w:szCs w:val="24"/>
        </w:rPr>
        <w:t>UniSHAMS-INTERNATIONAL CONFERENCE 2019/ e-PROCEEDINGS THE</w:t>
      </w:r>
      <w:r>
        <w:rPr>
          <w:rFonts w:ascii="Times New Roman" w:hAnsi="Times New Roman" w:cs="Times New Roman"/>
          <w:sz w:val="24"/>
          <w:szCs w:val="24"/>
        </w:rPr>
        <w:t xml:space="preserve"> (pp. 66–80).</w:t>
      </w:r>
    </w:p>
    <w:p w14:paraId="65C9BC78"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Jamal, K. F. (2018). Relationship Analysis of Islamic Banking between Malaysia and Pakistan. </w:t>
      </w:r>
      <w:r>
        <w:rPr>
          <w:rFonts w:ascii="Times New Roman" w:hAnsi="Times New Roman" w:cs="Times New Roman"/>
          <w:i/>
          <w:iCs/>
          <w:sz w:val="24"/>
          <w:szCs w:val="24"/>
        </w:rPr>
        <w:t>Journal of Management Info (JMI)</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(4), 1–6. https://doi.org/10.31580/jmi.v5i4.114</w:t>
      </w:r>
    </w:p>
    <w:p w14:paraId="075045ED"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Lestari, W. D., Surakarta, U. M., Nurhayati, S. F., Surakarta, U. M., Irawati, Z., Surakarta, U. M., … Surakarta, U. M. (2019). Hajj Financing With Sharia Pawnshop. In </w:t>
      </w:r>
      <w:r>
        <w:rPr>
          <w:rFonts w:ascii="Times New Roman" w:hAnsi="Times New Roman" w:cs="Times New Roman"/>
          <w:i/>
          <w:iCs/>
          <w:sz w:val="24"/>
          <w:szCs w:val="24"/>
        </w:rPr>
        <w:t>Advances in Economics, Business and Management Research, volume 101 1st</w:t>
      </w:r>
      <w:r>
        <w:rPr>
          <w:rFonts w:ascii="Times New Roman" w:hAnsi="Times New Roman" w:cs="Times New Roman"/>
          <w:sz w:val="24"/>
          <w:szCs w:val="24"/>
        </w:rPr>
        <w:t xml:space="preserve"> (Vol. 101, pp. 246–248). Atlantis Press.</w:t>
      </w:r>
    </w:p>
    <w:p w14:paraId="2D975204"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Lubis, M. (2020). INOVASI SISTEMIK PEMBIAYAAN PERJALANAN UMRAH MELALUI AMITRA SYARIAH FINANCING (STUDI KASUS PT. WAKAFA ZAIN ABUL HUSNA). </w:t>
      </w:r>
      <w:r>
        <w:rPr>
          <w:rFonts w:ascii="Times New Roman" w:hAnsi="Times New Roman" w:cs="Times New Roman"/>
          <w:i/>
          <w:iCs/>
          <w:sz w:val="24"/>
          <w:szCs w:val="24"/>
        </w:rPr>
        <w:t>Jurnal Islamic Circle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82–102.</w:t>
      </w:r>
    </w:p>
    <w:p w14:paraId="213230C8"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Novindri, S. (2013). Analisis Fikih terhadap Akad Dana Talangan Haji pada Bank Syariah. </w:t>
      </w:r>
      <w:r>
        <w:rPr>
          <w:rFonts w:ascii="Times New Roman" w:hAnsi="Times New Roman" w:cs="Times New Roman"/>
          <w:i/>
          <w:iCs/>
          <w:sz w:val="24"/>
          <w:szCs w:val="24"/>
        </w:rPr>
        <w:t>Muqtasid</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27–53.</w:t>
      </w:r>
    </w:p>
    <w:p w14:paraId="1D862D85"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Nurhayati. (2017). Aqad Al - Ba’i Murabahah menurut AlQur’an, Fatwa MUI dan Hadist pada Praktik Akad Bai Al-Murabahah di Perbankan Syariah. </w:t>
      </w:r>
      <w:r>
        <w:rPr>
          <w:rFonts w:ascii="Times New Roman" w:hAnsi="Times New Roman" w:cs="Times New Roman"/>
          <w:i/>
          <w:iCs/>
          <w:sz w:val="24"/>
          <w:szCs w:val="24"/>
        </w:rPr>
        <w:t>Kajian Akntansi, Unisba</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(1), 16–35. https://doi.org/DOI: https://doi.org/10.29313/ka.v17i2.2511</w:t>
      </w:r>
    </w:p>
    <w:p w14:paraId="3F8CF805" w14:textId="6150FAAA"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Oktaviani, F. (2018). Relevansi Akad </w:t>
      </w:r>
      <w:r w:rsidR="004C55CF" w:rsidRPr="004C55CF">
        <w:rPr>
          <w:rFonts w:ascii="Times New Roman" w:hAnsi="Times New Roman" w:cs="Times New Roman"/>
          <w:i/>
          <w:iCs/>
          <w:sz w:val="24"/>
          <w:szCs w:val="24"/>
        </w:rPr>
        <w:t>Ijarah</w:t>
      </w:r>
      <w:r>
        <w:rPr>
          <w:rFonts w:ascii="Times New Roman" w:hAnsi="Times New Roman" w:cs="Times New Roman"/>
          <w:sz w:val="24"/>
          <w:szCs w:val="24"/>
        </w:rPr>
        <w:t xml:space="preserve"> Pada Pembiayaan </w:t>
      </w:r>
      <w:r w:rsidR="00E26F8E">
        <w:rPr>
          <w:rFonts w:ascii="Times New Roman" w:hAnsi="Times New Roman" w:cs="Times New Roman"/>
          <w:sz w:val="24"/>
          <w:szCs w:val="24"/>
        </w:rPr>
        <w:t>Umrah</w:t>
      </w:r>
      <w:r>
        <w:rPr>
          <w:rFonts w:ascii="Times New Roman" w:hAnsi="Times New Roman" w:cs="Times New Roman"/>
          <w:sz w:val="24"/>
          <w:szCs w:val="24"/>
        </w:rPr>
        <w:t xml:space="preserve"> di Bank Syariah Kantor Pusat Jakarta Perspektif Hukum Islam Pendahuluan. </w:t>
      </w:r>
      <w:r>
        <w:rPr>
          <w:rFonts w:ascii="Times New Roman" w:hAnsi="Times New Roman" w:cs="Times New Roman"/>
          <w:i/>
          <w:iCs/>
          <w:sz w:val="24"/>
          <w:szCs w:val="24"/>
        </w:rPr>
        <w:t>Iqtishodia : Jurnal Ekonomi Syariah</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110–131.</w:t>
      </w:r>
    </w:p>
    <w:p w14:paraId="1E13B435" w14:textId="77777777" w:rsidR="00DE6169" w:rsidRDefault="00DE6169" w:rsidP="004C55C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Sabiq, A. S. (1992). </w:t>
      </w:r>
      <w:r>
        <w:rPr>
          <w:rFonts w:ascii="Times New Roman" w:hAnsi="Times New Roman" w:cs="Times New Roman"/>
          <w:i/>
          <w:iCs/>
          <w:sz w:val="24"/>
          <w:szCs w:val="24"/>
        </w:rPr>
        <w:t>Fiqh us Sunnah Hajj and Umrah</w:t>
      </w:r>
      <w:r>
        <w:rPr>
          <w:rFonts w:ascii="Times New Roman" w:hAnsi="Times New Roman" w:cs="Times New Roman"/>
          <w:sz w:val="24"/>
          <w:szCs w:val="24"/>
        </w:rPr>
        <w:t>. Indianapolis, USA: American Trust Publication.</w:t>
      </w:r>
    </w:p>
    <w:p w14:paraId="2CADAE15" w14:textId="5ED669D8" w:rsidR="00516C75" w:rsidRPr="004C55CF" w:rsidRDefault="00DE6169" w:rsidP="004C55CF">
      <w:pPr>
        <w:spacing w:after="0"/>
        <w:ind w:left="720" w:hanging="720"/>
        <w:jc w:val="both"/>
      </w:pPr>
      <w:r>
        <w:rPr>
          <w:rFonts w:ascii="Times New Roman" w:hAnsi="Times New Roman" w:cs="Times New Roman"/>
          <w:sz w:val="24"/>
          <w:szCs w:val="24"/>
        </w:rPr>
        <w:t xml:space="preserve">Usmani, M. M. T. (1998). </w:t>
      </w:r>
      <w:r>
        <w:rPr>
          <w:rFonts w:ascii="Times New Roman" w:hAnsi="Times New Roman" w:cs="Times New Roman"/>
          <w:i/>
          <w:iCs/>
          <w:sz w:val="24"/>
          <w:szCs w:val="24"/>
        </w:rPr>
        <w:t>an Introduction to Islamic Finance</w:t>
      </w:r>
      <w:r>
        <w:rPr>
          <w:rFonts w:ascii="Times New Roman" w:hAnsi="Times New Roman" w:cs="Times New Roman"/>
          <w:sz w:val="24"/>
          <w:szCs w:val="24"/>
        </w:rPr>
        <w:t>. Pakistan.</w:t>
      </w:r>
    </w:p>
    <w:sectPr w:rsidR="00516C75" w:rsidRPr="004C55CF" w:rsidSect="00AD4F64">
      <w:headerReference w:type="even" r:id="rId10"/>
      <w:headerReference w:type="default" r:id="rId11"/>
      <w:footerReference w:type="even" r:id="rId12"/>
      <w:footerReference w:type="default" r:id="rId13"/>
      <w:headerReference w:type="first" r:id="rId14"/>
      <w:footerReference w:type="first" r:id="rId15"/>
      <w:pgSz w:w="11906" w:h="16838"/>
      <w:pgMar w:top="1800" w:right="1800" w:bottom="1440" w:left="1800" w:header="720" w:footer="720" w:gutter="0"/>
      <w:pgNumType w:start="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0BC7" w14:textId="77777777" w:rsidR="00394857" w:rsidRDefault="00394857" w:rsidP="000E3A80">
      <w:pPr>
        <w:spacing w:after="0" w:line="240" w:lineRule="auto"/>
      </w:pPr>
      <w:r>
        <w:separator/>
      </w:r>
    </w:p>
  </w:endnote>
  <w:endnote w:type="continuationSeparator" w:id="0">
    <w:p w14:paraId="3C0876EB" w14:textId="77777777" w:rsidR="00394857" w:rsidRDefault="00394857" w:rsidP="000E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0"/>
        <w:szCs w:val="20"/>
      </w:rPr>
      <w:id w:val="136840997"/>
      <w:docPartObj>
        <w:docPartGallery w:val="Page Numbers (Bottom of Page)"/>
        <w:docPartUnique/>
      </w:docPartObj>
    </w:sdtPr>
    <w:sdtEndPr/>
    <w:sdtContent>
      <w:p w14:paraId="56218D28" w14:textId="77777777" w:rsidR="00A748DC" w:rsidRPr="00A748DC" w:rsidRDefault="00A748DC">
        <w:pPr>
          <w:pStyle w:val="Footer"/>
          <w:jc w:val="center"/>
          <w:rPr>
            <w:rFonts w:ascii="Bookman Old Style" w:hAnsi="Bookman Old Style"/>
            <w:sz w:val="20"/>
            <w:szCs w:val="20"/>
          </w:rPr>
        </w:pPr>
        <w:r w:rsidRPr="00A748DC">
          <w:rPr>
            <w:rFonts w:ascii="Bookman Old Style" w:hAnsi="Bookman Old Style"/>
            <w:sz w:val="20"/>
            <w:szCs w:val="20"/>
          </w:rPr>
          <w:fldChar w:fldCharType="begin"/>
        </w:r>
        <w:r w:rsidRPr="00A748DC">
          <w:rPr>
            <w:rFonts w:ascii="Bookman Old Style" w:hAnsi="Bookman Old Style"/>
            <w:sz w:val="20"/>
            <w:szCs w:val="20"/>
          </w:rPr>
          <w:instrText xml:space="preserve"> PAGE   \* MERGEFORMAT </w:instrText>
        </w:r>
        <w:r w:rsidRPr="00A748DC">
          <w:rPr>
            <w:rFonts w:ascii="Bookman Old Style" w:hAnsi="Bookman Old Style"/>
            <w:sz w:val="20"/>
            <w:szCs w:val="20"/>
          </w:rPr>
          <w:fldChar w:fldCharType="separate"/>
        </w:r>
        <w:r w:rsidR="007976B1">
          <w:rPr>
            <w:rFonts w:ascii="Bookman Old Style" w:hAnsi="Bookman Old Style"/>
            <w:noProof/>
            <w:sz w:val="20"/>
            <w:szCs w:val="20"/>
          </w:rPr>
          <w:t>62</w:t>
        </w:r>
        <w:r w:rsidRPr="00A748DC">
          <w:rPr>
            <w:rFonts w:ascii="Bookman Old Style" w:hAnsi="Bookman Old Style"/>
            <w:sz w:val="20"/>
            <w:szCs w:val="20"/>
          </w:rPr>
          <w:fldChar w:fldCharType="end"/>
        </w:r>
      </w:p>
    </w:sdtContent>
  </w:sdt>
  <w:p w14:paraId="60312992" w14:textId="77777777" w:rsidR="00A748DC" w:rsidRPr="00A748DC" w:rsidRDefault="00A748DC">
    <w:pPr>
      <w:pStyle w:val="Footer"/>
      <w:rPr>
        <w:rFonts w:ascii="Bookman Old Style" w:hAnsi="Bookman Old Style"/>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40991"/>
      <w:docPartObj>
        <w:docPartGallery w:val="Page Numbers (Bottom of Page)"/>
        <w:docPartUnique/>
      </w:docPartObj>
    </w:sdtPr>
    <w:sdtEndPr>
      <w:rPr>
        <w:rFonts w:ascii="Bookman Old Style" w:hAnsi="Bookman Old Style"/>
        <w:sz w:val="20"/>
        <w:szCs w:val="20"/>
      </w:rPr>
    </w:sdtEndPr>
    <w:sdtContent>
      <w:p w14:paraId="09E6EE27" w14:textId="77777777" w:rsidR="000E3A80" w:rsidRPr="000E3A80" w:rsidRDefault="000E3A80">
        <w:pPr>
          <w:pStyle w:val="Footer"/>
          <w:jc w:val="center"/>
          <w:rPr>
            <w:rFonts w:ascii="Bookman Old Style" w:hAnsi="Bookman Old Style"/>
            <w:sz w:val="20"/>
            <w:szCs w:val="20"/>
          </w:rPr>
        </w:pPr>
        <w:r w:rsidRPr="000E3A80">
          <w:rPr>
            <w:rFonts w:ascii="Bookman Old Style" w:hAnsi="Bookman Old Style"/>
            <w:sz w:val="20"/>
            <w:szCs w:val="20"/>
          </w:rPr>
          <w:fldChar w:fldCharType="begin"/>
        </w:r>
        <w:r w:rsidRPr="000E3A80">
          <w:rPr>
            <w:rFonts w:ascii="Bookman Old Style" w:hAnsi="Bookman Old Style"/>
            <w:sz w:val="20"/>
            <w:szCs w:val="20"/>
          </w:rPr>
          <w:instrText xml:space="preserve"> PAGE   \* MERGEFORMAT </w:instrText>
        </w:r>
        <w:r w:rsidRPr="000E3A80">
          <w:rPr>
            <w:rFonts w:ascii="Bookman Old Style" w:hAnsi="Bookman Old Style"/>
            <w:sz w:val="20"/>
            <w:szCs w:val="20"/>
          </w:rPr>
          <w:fldChar w:fldCharType="separate"/>
        </w:r>
        <w:r w:rsidR="007976B1">
          <w:rPr>
            <w:rFonts w:ascii="Bookman Old Style" w:hAnsi="Bookman Old Style"/>
            <w:noProof/>
            <w:sz w:val="20"/>
            <w:szCs w:val="20"/>
          </w:rPr>
          <w:t>61</w:t>
        </w:r>
        <w:r w:rsidRPr="000E3A80">
          <w:rPr>
            <w:rFonts w:ascii="Bookman Old Style" w:hAnsi="Bookman Old Style"/>
            <w:sz w:val="20"/>
            <w:szCs w:val="20"/>
          </w:rPr>
          <w:fldChar w:fldCharType="end"/>
        </w:r>
      </w:p>
    </w:sdtContent>
  </w:sdt>
  <w:p w14:paraId="7B4AFBF2" w14:textId="77777777" w:rsidR="000E3A80" w:rsidRPr="000E3A80" w:rsidRDefault="000E3A80">
    <w:pPr>
      <w:pStyle w:val="Footer"/>
      <w:rPr>
        <w:rFonts w:ascii="Bookman Old Style" w:hAnsi="Bookman Old Style"/>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0"/>
        <w:szCs w:val="20"/>
      </w:rPr>
      <w:id w:val="136840995"/>
      <w:docPartObj>
        <w:docPartGallery w:val="Page Numbers (Bottom of Page)"/>
        <w:docPartUnique/>
      </w:docPartObj>
    </w:sdtPr>
    <w:sdtEndPr/>
    <w:sdtContent>
      <w:p w14:paraId="5A26ED24" w14:textId="77777777" w:rsidR="00A748DC" w:rsidRPr="00A748DC" w:rsidRDefault="00A748DC">
        <w:pPr>
          <w:pStyle w:val="Footer"/>
          <w:jc w:val="center"/>
          <w:rPr>
            <w:rFonts w:ascii="Bookman Old Style" w:hAnsi="Bookman Old Style"/>
            <w:sz w:val="20"/>
            <w:szCs w:val="20"/>
          </w:rPr>
        </w:pPr>
        <w:r w:rsidRPr="00A748DC">
          <w:rPr>
            <w:rFonts w:ascii="Bookman Old Style" w:hAnsi="Bookman Old Style"/>
            <w:sz w:val="20"/>
            <w:szCs w:val="20"/>
          </w:rPr>
          <w:fldChar w:fldCharType="begin"/>
        </w:r>
        <w:r w:rsidRPr="00A748DC">
          <w:rPr>
            <w:rFonts w:ascii="Bookman Old Style" w:hAnsi="Bookman Old Style"/>
            <w:sz w:val="20"/>
            <w:szCs w:val="20"/>
          </w:rPr>
          <w:instrText xml:space="preserve"> PAGE   \* MERGEFORMAT </w:instrText>
        </w:r>
        <w:r w:rsidRPr="00A748DC">
          <w:rPr>
            <w:rFonts w:ascii="Bookman Old Style" w:hAnsi="Bookman Old Style"/>
            <w:sz w:val="20"/>
            <w:szCs w:val="20"/>
          </w:rPr>
          <w:fldChar w:fldCharType="separate"/>
        </w:r>
        <w:r w:rsidR="007976B1">
          <w:rPr>
            <w:rFonts w:ascii="Bookman Old Style" w:hAnsi="Bookman Old Style"/>
            <w:noProof/>
            <w:sz w:val="20"/>
            <w:szCs w:val="20"/>
          </w:rPr>
          <w:t>53</w:t>
        </w:r>
        <w:r w:rsidRPr="00A748DC">
          <w:rPr>
            <w:rFonts w:ascii="Bookman Old Style" w:hAnsi="Bookman Old Style"/>
            <w:sz w:val="20"/>
            <w:szCs w:val="20"/>
          </w:rPr>
          <w:fldChar w:fldCharType="end"/>
        </w:r>
      </w:p>
    </w:sdtContent>
  </w:sdt>
  <w:p w14:paraId="22646A5A" w14:textId="77777777" w:rsidR="00A748DC" w:rsidRPr="00A748DC" w:rsidRDefault="00A748DC">
    <w:pPr>
      <w:pStyle w:val="Footer"/>
      <w:rPr>
        <w:rFonts w:ascii="Bookman Old Style" w:hAnsi="Bookman Old Sty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89E26" w14:textId="77777777" w:rsidR="00394857" w:rsidRDefault="00394857" w:rsidP="000E3A80">
      <w:pPr>
        <w:spacing w:after="0" w:line="240" w:lineRule="auto"/>
      </w:pPr>
      <w:r>
        <w:separator/>
      </w:r>
    </w:p>
  </w:footnote>
  <w:footnote w:type="continuationSeparator" w:id="0">
    <w:p w14:paraId="31E6D782" w14:textId="77777777" w:rsidR="00394857" w:rsidRDefault="00394857" w:rsidP="000E3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43F4" w14:textId="4C0092A8" w:rsidR="006A0766" w:rsidRPr="006A0766" w:rsidRDefault="006A0766">
    <w:pPr>
      <w:pStyle w:val="Header"/>
      <w:rPr>
        <w:rFonts w:ascii="Bookman Old Style" w:hAnsi="Bookman Old Style"/>
        <w:i/>
        <w:sz w:val="20"/>
        <w:szCs w:val="20"/>
      </w:rPr>
    </w:pPr>
    <w:r w:rsidRPr="006A0766">
      <w:rPr>
        <w:rFonts w:ascii="Bookman Old Style" w:hAnsi="Bookman Old Style"/>
        <w:i/>
        <w:sz w:val="20"/>
        <w:szCs w:val="20"/>
      </w:rPr>
      <w:t>AT TAUZ</w:t>
    </w:r>
    <w:r>
      <w:rPr>
        <w:rFonts w:ascii="Bookman Old Style" w:hAnsi="Bookman Old Style"/>
        <w:i/>
        <w:sz w:val="20"/>
        <w:szCs w:val="20"/>
      </w:rPr>
      <w:t xml:space="preserve">I’: Jurnal Ekonomi Islam, Vol. </w:t>
    </w:r>
    <w:r>
      <w:rPr>
        <w:rFonts w:ascii="Bookman Old Style" w:hAnsi="Bookman Old Style"/>
        <w:i/>
        <w:sz w:val="20"/>
        <w:szCs w:val="20"/>
        <w:lang w:val="en-US"/>
      </w:rPr>
      <w:t>2</w:t>
    </w:r>
    <w:r w:rsidR="00AD4F64">
      <w:rPr>
        <w:rFonts w:ascii="Bookman Old Style" w:hAnsi="Bookman Old Style"/>
        <w:i/>
        <w:sz w:val="20"/>
        <w:szCs w:val="20"/>
        <w:lang w:val="en-US"/>
      </w:rPr>
      <w:t>3</w:t>
    </w:r>
    <w:r w:rsidRPr="006A0766">
      <w:rPr>
        <w:rFonts w:ascii="Bookman Old Style" w:hAnsi="Bookman Old Style"/>
        <w:i/>
        <w:sz w:val="20"/>
        <w:szCs w:val="20"/>
      </w:rPr>
      <w:t xml:space="preserve">, No. </w:t>
    </w:r>
    <w:r w:rsidR="00AD4F64">
      <w:rPr>
        <w:rFonts w:ascii="Bookman Old Style" w:hAnsi="Bookman Old Style"/>
        <w:i/>
        <w:sz w:val="20"/>
        <w:szCs w:val="20"/>
      </w:rPr>
      <w:t>1</w:t>
    </w:r>
    <w:r w:rsidRPr="006A0766">
      <w:rPr>
        <w:rFonts w:ascii="Bookman Old Style" w:hAnsi="Bookman Old Style"/>
        <w:i/>
        <w:sz w:val="20"/>
        <w:szCs w:val="20"/>
      </w:rPr>
      <w:t xml:space="preserve">, </w:t>
    </w:r>
    <w:r w:rsidR="00AD4F64">
      <w:rPr>
        <w:rFonts w:ascii="Bookman Old Style" w:hAnsi="Bookman Old Style"/>
        <w:i/>
        <w:sz w:val="20"/>
        <w:szCs w:val="20"/>
      </w:rPr>
      <w:t>Juni</w:t>
    </w:r>
    <w:r w:rsidRPr="006A0766">
      <w:rPr>
        <w:rFonts w:ascii="Bookman Old Style" w:hAnsi="Bookman Old Style"/>
        <w:i/>
        <w:sz w:val="20"/>
        <w:szCs w:val="20"/>
      </w:rPr>
      <w:t xml:space="preserve"> 20</w:t>
    </w:r>
    <w:r>
      <w:rPr>
        <w:rFonts w:ascii="Bookman Old Style" w:hAnsi="Bookman Old Style"/>
        <w:i/>
        <w:sz w:val="20"/>
        <w:szCs w:val="20"/>
        <w:lang w:val="en-US"/>
      </w:rPr>
      <w:t>2</w:t>
    </w:r>
    <w:r w:rsidR="00AD4F64">
      <w:rPr>
        <w:rFonts w:ascii="Bookman Old Style" w:hAnsi="Bookman Old Style"/>
        <w:i/>
        <w:sz w:val="20"/>
        <w:szCs w:val="20"/>
        <w:lang w:val="en-US"/>
      </w:rPr>
      <w:t>3</w:t>
    </w:r>
    <w:r w:rsidRPr="006A0766">
      <w:rPr>
        <w:rFonts w:ascii="Bookman Old Style" w:hAnsi="Bookman Old Style"/>
        <w:i/>
        <w:sz w:val="20"/>
        <w:szCs w:val="20"/>
      </w:rPr>
      <w:t xml:space="preserve">, hlm. </w:t>
    </w:r>
    <w:r w:rsidR="00AD4F64">
      <w:rPr>
        <w:rFonts w:ascii="Bookman Old Style" w:hAnsi="Bookman Old Style"/>
        <w:i/>
        <w:sz w:val="20"/>
        <w:szCs w:val="20"/>
        <w:lang w:val="en-US"/>
      </w:rPr>
      <w:t>53</w:t>
    </w:r>
    <w:r>
      <w:rPr>
        <w:rFonts w:ascii="Bookman Old Style" w:hAnsi="Bookman Old Style"/>
        <w:i/>
        <w:sz w:val="20"/>
        <w:szCs w:val="20"/>
        <w:lang w:val="en-US"/>
      </w:rPr>
      <w:t>-</w:t>
    </w:r>
    <w:r w:rsidR="00AD4F64">
      <w:rPr>
        <w:rFonts w:ascii="Bookman Old Style" w:hAnsi="Bookman Old Style"/>
        <w:i/>
        <w:sz w:val="20"/>
        <w:szCs w:val="20"/>
        <w:lang w:val="en-US"/>
      </w:rPr>
      <w:t>6</w:t>
    </w:r>
    <w:r w:rsidR="007B4EAB">
      <w:rPr>
        <w:rFonts w:ascii="Bookman Old Style" w:hAnsi="Bookman Old Style"/>
        <w:i/>
        <w:sz w:val="20"/>
        <w:szCs w:val="20"/>
        <w:lang w:val="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9A4CD" w14:textId="259CF22C" w:rsidR="00ED7BBD" w:rsidRPr="00D840C2" w:rsidRDefault="00AD4F64" w:rsidP="00D840C2">
    <w:pPr>
      <w:pStyle w:val="Header"/>
      <w:tabs>
        <w:tab w:val="clear" w:pos="4513"/>
      </w:tabs>
      <w:jc w:val="right"/>
      <w:rPr>
        <w:rFonts w:ascii="Bookman Old Style" w:hAnsi="Bookman Old Style"/>
        <w:i/>
        <w:sz w:val="20"/>
        <w:szCs w:val="20"/>
      </w:rPr>
    </w:pPr>
    <w:r>
      <w:rPr>
        <w:rFonts w:ascii="Bookman Old Style" w:hAnsi="Bookman Old Style"/>
        <w:b/>
        <w:i/>
        <w:sz w:val="20"/>
        <w:szCs w:val="20"/>
      </w:rPr>
      <w:t xml:space="preserve">Widodo, S., Khairawati, S., </w:t>
    </w:r>
    <w:r w:rsidR="00855BC9">
      <w:rPr>
        <w:rFonts w:ascii="Bookman Old Style" w:hAnsi="Bookman Old Style"/>
        <w:i/>
        <w:sz w:val="20"/>
        <w:szCs w:val="20"/>
      </w:rPr>
      <w:t>A</w:t>
    </w:r>
    <w:r>
      <w:rPr>
        <w:rFonts w:ascii="Bookman Old Style" w:hAnsi="Bookman Old Style"/>
        <w:i/>
        <w:sz w:val="20"/>
        <w:szCs w:val="20"/>
      </w:rPr>
      <w:t>kad Transaksi Umrah: Studi Komparatif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338E2" w14:textId="4329883D" w:rsidR="00D840C2" w:rsidRPr="00D840C2" w:rsidRDefault="00D840C2" w:rsidP="004511F8">
    <w:pPr>
      <w:pStyle w:val="Header"/>
      <w:tabs>
        <w:tab w:val="clear" w:pos="4513"/>
      </w:tabs>
      <w:rPr>
        <w:rFonts w:ascii="Bookman Old Style" w:hAnsi="Bookman Old Style"/>
        <w:sz w:val="20"/>
        <w:szCs w:val="20"/>
      </w:rPr>
    </w:pPr>
    <w:r w:rsidRPr="00D840C2">
      <w:rPr>
        <w:rFonts w:ascii="Bookman Old Style" w:hAnsi="Bookman Old Style"/>
        <w:sz w:val="20"/>
        <w:szCs w:val="20"/>
        <w:lang w:val="en-US"/>
      </w:rPr>
      <w:t xml:space="preserve">AT TAUZI’: Jurnal Ekonomi Islam </w:t>
    </w:r>
    <w:r w:rsidR="009C4222">
      <w:rPr>
        <w:rFonts w:ascii="Bookman Old Style" w:hAnsi="Bookman Old Style"/>
        <w:sz w:val="20"/>
        <w:szCs w:val="20"/>
        <w:lang w:val="en-US"/>
      </w:rPr>
      <w:tab/>
    </w:r>
    <w:r w:rsidRPr="00D840C2">
      <w:rPr>
        <w:rFonts w:ascii="Bookman Old Style" w:hAnsi="Bookman Old Style"/>
        <w:sz w:val="20"/>
        <w:szCs w:val="20"/>
      </w:rPr>
      <w:t>Vol. 2</w:t>
    </w:r>
    <w:r w:rsidR="00AD4F64">
      <w:rPr>
        <w:rFonts w:ascii="Bookman Old Style" w:hAnsi="Bookman Old Style"/>
        <w:sz w:val="20"/>
        <w:szCs w:val="20"/>
      </w:rPr>
      <w:t>3</w:t>
    </w:r>
    <w:r w:rsidRPr="00D840C2">
      <w:rPr>
        <w:rFonts w:ascii="Bookman Old Style" w:hAnsi="Bookman Old Style"/>
        <w:sz w:val="20"/>
        <w:szCs w:val="20"/>
      </w:rPr>
      <w:t xml:space="preserve">, No. </w:t>
    </w:r>
    <w:r w:rsidR="00AD4F64">
      <w:rPr>
        <w:rFonts w:ascii="Bookman Old Style" w:hAnsi="Bookman Old Style"/>
        <w:sz w:val="20"/>
        <w:szCs w:val="20"/>
      </w:rPr>
      <w:t>1</w:t>
    </w:r>
    <w:r w:rsidRPr="00D840C2">
      <w:rPr>
        <w:rFonts w:ascii="Bookman Old Style" w:hAnsi="Bookman Old Style"/>
        <w:sz w:val="20"/>
        <w:szCs w:val="20"/>
      </w:rPr>
      <w:t xml:space="preserve">: </w:t>
    </w:r>
    <w:r w:rsidR="00AD4F64">
      <w:rPr>
        <w:rFonts w:ascii="Bookman Old Style" w:hAnsi="Bookman Old Style"/>
        <w:sz w:val="20"/>
        <w:szCs w:val="20"/>
      </w:rPr>
      <w:t>Juni</w:t>
    </w:r>
    <w:r w:rsidRPr="00D840C2">
      <w:rPr>
        <w:rFonts w:ascii="Bookman Old Style" w:hAnsi="Bookman Old Style"/>
        <w:sz w:val="20"/>
        <w:szCs w:val="20"/>
      </w:rPr>
      <w:t xml:space="preserve"> 202</w:t>
    </w:r>
    <w:r w:rsidR="00AD4F64">
      <w:rPr>
        <w:rFonts w:ascii="Bookman Old Style" w:hAnsi="Bookman Old Style"/>
        <w:sz w:val="20"/>
        <w:szCs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62076"/>
    <w:multiLevelType w:val="hybridMultilevel"/>
    <w:tmpl w:val="F42E52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900649B"/>
    <w:multiLevelType w:val="hybridMultilevel"/>
    <w:tmpl w:val="58F8B2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75"/>
    <w:rsid w:val="0002445A"/>
    <w:rsid w:val="000E3A80"/>
    <w:rsid w:val="00135AFD"/>
    <w:rsid w:val="001E38BA"/>
    <w:rsid w:val="00264329"/>
    <w:rsid w:val="002C2E4B"/>
    <w:rsid w:val="003848BF"/>
    <w:rsid w:val="00394857"/>
    <w:rsid w:val="004511F8"/>
    <w:rsid w:val="004C2A2C"/>
    <w:rsid w:val="004C55CF"/>
    <w:rsid w:val="004E4E74"/>
    <w:rsid w:val="00516C75"/>
    <w:rsid w:val="005F266F"/>
    <w:rsid w:val="006A0766"/>
    <w:rsid w:val="00705C8D"/>
    <w:rsid w:val="00775C08"/>
    <w:rsid w:val="007976B1"/>
    <w:rsid w:val="007B4EAB"/>
    <w:rsid w:val="00855BC9"/>
    <w:rsid w:val="008D6750"/>
    <w:rsid w:val="00990A1B"/>
    <w:rsid w:val="00994639"/>
    <w:rsid w:val="009C4222"/>
    <w:rsid w:val="009D34E8"/>
    <w:rsid w:val="00A00F24"/>
    <w:rsid w:val="00A2737C"/>
    <w:rsid w:val="00A650CE"/>
    <w:rsid w:val="00A70545"/>
    <w:rsid w:val="00A748DC"/>
    <w:rsid w:val="00AA4C4F"/>
    <w:rsid w:val="00AD4F64"/>
    <w:rsid w:val="00B33F05"/>
    <w:rsid w:val="00B66C59"/>
    <w:rsid w:val="00C148C5"/>
    <w:rsid w:val="00CA0092"/>
    <w:rsid w:val="00CE6B5C"/>
    <w:rsid w:val="00D1335A"/>
    <w:rsid w:val="00D500C3"/>
    <w:rsid w:val="00D840C2"/>
    <w:rsid w:val="00D90190"/>
    <w:rsid w:val="00DC1EB7"/>
    <w:rsid w:val="00DD5BB6"/>
    <w:rsid w:val="00DE6169"/>
    <w:rsid w:val="00E130DF"/>
    <w:rsid w:val="00E22640"/>
    <w:rsid w:val="00E26F8E"/>
    <w:rsid w:val="00ED73D9"/>
    <w:rsid w:val="00ED7BBD"/>
    <w:rsid w:val="00EE1347"/>
    <w:rsid w:val="00F30BBF"/>
    <w:rsid w:val="00F82ED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A2D3"/>
  <w15:docId w15:val="{8A3D51FF-98C8-4A9A-8631-F4033068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8BA"/>
  </w:style>
  <w:style w:type="paragraph" w:styleId="Heading1">
    <w:name w:val="heading 1"/>
    <w:basedOn w:val="Normal"/>
    <w:link w:val="Heading1Char"/>
    <w:uiPriority w:val="9"/>
    <w:qFormat/>
    <w:rsid w:val="004E4E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6C75"/>
    <w:rPr>
      <w:u w:val="single"/>
    </w:rPr>
  </w:style>
  <w:style w:type="paragraph" w:customStyle="1" w:styleId="Body">
    <w:name w:val="Body"/>
    <w:rsid w:val="00516C7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US"/>
    </w:rPr>
  </w:style>
  <w:style w:type="paragraph" w:customStyle="1" w:styleId="KisiSedang21">
    <w:name w:val="Kisi Sedang 21"/>
    <w:uiPriority w:val="1"/>
    <w:qFormat/>
    <w:rsid w:val="00516C75"/>
    <w:pPr>
      <w:spacing w:after="0" w:line="240" w:lineRule="auto"/>
    </w:pPr>
    <w:rPr>
      <w:rFonts w:ascii="Helvetica" w:eastAsia="Times New Roman" w:hAnsi="Helvetica" w:cs="Times New Roman"/>
      <w:lang w:val="en-US" w:eastAsia="en-US"/>
    </w:rPr>
  </w:style>
  <w:style w:type="paragraph" w:styleId="Header">
    <w:name w:val="header"/>
    <w:basedOn w:val="Normal"/>
    <w:link w:val="HeaderChar"/>
    <w:uiPriority w:val="99"/>
    <w:semiHidden/>
    <w:unhideWhenUsed/>
    <w:rsid w:val="000E3A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3A80"/>
  </w:style>
  <w:style w:type="paragraph" w:styleId="Footer">
    <w:name w:val="footer"/>
    <w:basedOn w:val="Normal"/>
    <w:link w:val="FooterChar"/>
    <w:uiPriority w:val="99"/>
    <w:unhideWhenUsed/>
    <w:rsid w:val="000E3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A80"/>
  </w:style>
  <w:style w:type="character" w:customStyle="1" w:styleId="Heading1Char">
    <w:name w:val="Heading 1 Char"/>
    <w:basedOn w:val="DefaultParagraphFont"/>
    <w:link w:val="Heading1"/>
    <w:uiPriority w:val="9"/>
    <w:rsid w:val="004E4E74"/>
    <w:rPr>
      <w:rFonts w:ascii="Times New Roman" w:eastAsia="Times New Roman" w:hAnsi="Times New Roman" w:cs="Times New Roman"/>
      <w:b/>
      <w:bCs/>
      <w:kern w:val="36"/>
      <w:sz w:val="48"/>
      <w:szCs w:val="48"/>
      <w:lang w:val="en-US" w:eastAsia="en-US"/>
    </w:rPr>
  </w:style>
  <w:style w:type="character" w:customStyle="1" w:styleId="UnresolvedMention">
    <w:name w:val="Unresolved Mention"/>
    <w:basedOn w:val="DefaultParagraphFont"/>
    <w:uiPriority w:val="99"/>
    <w:semiHidden/>
    <w:unhideWhenUsed/>
    <w:rsid w:val="00CE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7820/attauzi.v22i2.2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kbhamfar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10</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Sosmed DIY</dc:creator>
  <cp:lastModifiedBy>Asus</cp:lastModifiedBy>
  <cp:revision>18</cp:revision>
  <dcterms:created xsi:type="dcterms:W3CDTF">2024-08-21T13:54:00Z</dcterms:created>
  <dcterms:modified xsi:type="dcterms:W3CDTF">2024-11-19T02:54:00Z</dcterms:modified>
</cp:coreProperties>
</file>